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Style w:val="7"/>
          <w:rFonts w:hint="eastAsia" w:ascii="仿宋_GB2312" w:hAnsi="仿宋_GB2312" w:eastAsia="仿宋_GB2312" w:cs="仿宋_GB2312"/>
          <w:color w:val="auto"/>
          <w:kern w:val="0"/>
          <w:sz w:val="32"/>
          <w:szCs w:val="32"/>
          <w:shd w:val="clear" w:color="auto" w:fill="FFFFFF"/>
          <w:lang w:bidi="ar"/>
        </w:rPr>
      </w:pPr>
      <w:r>
        <w:rPr>
          <w:rStyle w:val="7"/>
          <w:rFonts w:hint="eastAsia" w:ascii="仿宋_GB2312" w:hAnsi="仿宋_GB2312" w:eastAsia="仿宋_GB2312" w:cs="仿宋_GB2312"/>
          <w:color w:val="auto"/>
          <w:kern w:val="0"/>
          <w:sz w:val="32"/>
          <w:szCs w:val="32"/>
          <w:shd w:val="clear" w:color="auto" w:fill="FFFFFF"/>
          <w:lang w:bidi="ar"/>
        </w:rPr>
        <w:t>附件：</w:t>
      </w:r>
    </w:p>
    <w:p>
      <w:pPr>
        <w:widowControl/>
        <w:shd w:val="clear" w:color="auto" w:fill="FFFFFF"/>
        <w:spacing w:line="500" w:lineRule="exact"/>
        <w:jc w:val="center"/>
        <w:rPr>
          <w:rStyle w:val="7"/>
          <w:rFonts w:hint="eastAsia" w:ascii="方正小标宋_GBK" w:hAnsi="方正小标宋_GBK" w:eastAsia="方正小标宋_GBK" w:cs="方正小标宋_GBK"/>
          <w:b w:val="0"/>
          <w:bCs/>
          <w:color w:val="auto"/>
          <w:kern w:val="0"/>
          <w:sz w:val="44"/>
          <w:szCs w:val="44"/>
          <w:shd w:val="clear" w:color="auto" w:fill="FFFFFF"/>
          <w:lang w:bidi="ar"/>
        </w:rPr>
      </w:pPr>
    </w:p>
    <w:p>
      <w:pPr>
        <w:widowControl/>
        <w:shd w:val="clear" w:color="auto" w:fill="FFFFFF"/>
        <w:spacing w:line="500" w:lineRule="exact"/>
        <w:jc w:val="center"/>
        <w:rPr>
          <w:rStyle w:val="7"/>
          <w:rFonts w:hint="eastAsia" w:ascii="方正小标宋_GBK" w:hAnsi="方正小标宋_GBK" w:eastAsia="方正小标宋_GBK" w:cs="方正小标宋_GBK"/>
          <w:b w:val="0"/>
          <w:bCs/>
          <w:color w:val="auto"/>
          <w:kern w:val="0"/>
          <w:sz w:val="44"/>
          <w:szCs w:val="44"/>
          <w:shd w:val="clear" w:color="auto" w:fill="FFFFFF"/>
          <w:lang w:bidi="ar"/>
        </w:rPr>
      </w:pPr>
      <w:bookmarkStart w:id="0" w:name="_GoBack"/>
      <w:r>
        <w:rPr>
          <w:rStyle w:val="7"/>
          <w:rFonts w:hint="eastAsia" w:ascii="方正小标宋_GBK" w:hAnsi="方正小标宋_GBK" w:eastAsia="方正小标宋_GBK" w:cs="方正小标宋_GBK"/>
          <w:b w:val="0"/>
          <w:bCs/>
          <w:color w:val="auto"/>
          <w:kern w:val="0"/>
          <w:sz w:val="44"/>
          <w:szCs w:val="44"/>
          <w:shd w:val="clear" w:color="auto" w:fill="FFFFFF"/>
          <w:lang w:bidi="ar"/>
        </w:rPr>
        <w:t>深圳市深汕特别合作区深汕智慧国资监管平台报价单</w:t>
      </w:r>
    </w:p>
    <w:bookmarkEnd w:id="0"/>
    <w:p>
      <w:pPr>
        <w:widowControl/>
        <w:shd w:val="clear" w:color="auto" w:fill="FFFFFF"/>
        <w:spacing w:line="5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一、报价内容</w:t>
      </w:r>
    </w:p>
    <w:p>
      <w:pPr>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项目名称：深汕智慧国资监管平台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采购单位：深圳市深汕特别合作区发展改革和财政局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总价</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二、报价</w:t>
      </w:r>
      <w:r>
        <w:rPr>
          <w:rFonts w:hint="eastAsia" w:ascii="仿宋_GB2312" w:hAnsi="仿宋_GB2312" w:eastAsia="仿宋_GB2312" w:cs="仿宋_GB2312"/>
          <w:b/>
          <w:bCs/>
          <w:color w:val="auto"/>
          <w:kern w:val="0"/>
          <w:sz w:val="32"/>
          <w:szCs w:val="32"/>
          <w:shd w:val="clear" w:color="auto" w:fill="FFFFFF"/>
          <w:lang w:val="en-US" w:eastAsia="zh-CN" w:bidi="ar"/>
        </w:rPr>
        <w:t>明细</w:t>
      </w:r>
      <w:r>
        <w:rPr>
          <w:rFonts w:hint="eastAsia" w:ascii="仿宋_GB2312" w:hAnsi="仿宋_GB2312" w:eastAsia="仿宋_GB2312" w:cs="仿宋_GB2312"/>
          <w:b/>
          <w:bCs/>
          <w:color w:val="auto"/>
          <w:kern w:val="0"/>
          <w:sz w:val="32"/>
          <w:szCs w:val="32"/>
          <w:shd w:val="clear" w:color="auto" w:fill="FFFFFF"/>
          <w:lang w:bidi="ar"/>
        </w:rPr>
        <w:t>（此报价表内只需填写一年的项目服务费）</w:t>
      </w:r>
    </w:p>
    <w:tbl>
      <w:tblPr>
        <w:tblStyle w:val="5"/>
        <w:tblW w:w="8310" w:type="dxa"/>
        <w:jc w:val="center"/>
        <w:tblLayout w:type="fixed"/>
        <w:tblCellMar>
          <w:top w:w="0" w:type="dxa"/>
          <w:left w:w="0" w:type="dxa"/>
          <w:bottom w:w="0" w:type="dxa"/>
          <w:right w:w="0" w:type="dxa"/>
        </w:tblCellMar>
      </w:tblPr>
      <w:tblGrid>
        <w:gridCol w:w="1069"/>
        <w:gridCol w:w="1305"/>
        <w:gridCol w:w="4331"/>
        <w:gridCol w:w="1605"/>
      </w:tblGrid>
      <w:tr>
        <w:tblPrEx>
          <w:tblCellMar>
            <w:top w:w="0" w:type="dxa"/>
            <w:left w:w="0" w:type="dxa"/>
            <w:bottom w:w="0" w:type="dxa"/>
            <w:right w:w="0" w:type="dxa"/>
          </w:tblCellMar>
        </w:tblPrEx>
        <w:trPr>
          <w:jc w:val="center"/>
        </w:trPr>
        <w:tc>
          <w:tcPr>
            <w:tcW w:w="1069"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序号</w:t>
            </w:r>
          </w:p>
        </w:tc>
        <w:tc>
          <w:tcPr>
            <w:tcW w:w="1305" w:type="dxa"/>
            <w:tcBorders>
              <w:top w:val="single" w:color="auto" w:sz="4" w:space="0"/>
              <w:left w:val="nil"/>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名称</w:t>
            </w:r>
          </w:p>
        </w:tc>
        <w:tc>
          <w:tcPr>
            <w:tcW w:w="4331" w:type="dxa"/>
            <w:tcBorders>
              <w:top w:val="single" w:color="auto" w:sz="4" w:space="0"/>
              <w:left w:val="nil"/>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内容</w:t>
            </w:r>
          </w:p>
        </w:tc>
        <w:tc>
          <w:tcPr>
            <w:tcW w:w="1605" w:type="dxa"/>
            <w:tcBorders>
              <w:top w:val="single" w:color="auto" w:sz="4" w:space="0"/>
              <w:left w:val="nil"/>
              <w:bottom w:val="single" w:color="auto" w:sz="4" w:space="0"/>
              <w:right w:val="single" w:color="000000" w:sz="8" w:space="0"/>
            </w:tcBorders>
            <w:shd w:val="clear" w:color="auto" w:fill="FFFFFF"/>
            <w:noWrap w:val="0"/>
            <w:vAlign w:val="center"/>
          </w:tcPr>
          <w:p>
            <w:pPr>
              <w:widowControl/>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费用（万元）</w:t>
            </w:r>
          </w:p>
        </w:tc>
      </w:tr>
      <w:tr>
        <w:tblPrEx>
          <w:tblCellMar>
            <w:top w:w="0" w:type="dxa"/>
            <w:left w:w="0" w:type="dxa"/>
            <w:bottom w:w="0" w:type="dxa"/>
            <w:right w:w="0" w:type="dxa"/>
          </w:tblCellMar>
        </w:tblPrEx>
        <w:trPr>
          <w:trHeight w:val="954"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305"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spacing w:line="500" w:lineRule="exact"/>
              <w:jc w:val="left"/>
              <w:rPr>
                <w:rFonts w:hint="eastAsia" w:ascii="宋体" w:hAnsi="宋体" w:eastAsia="宋体" w:cs="宋体"/>
                <w:color w:val="auto"/>
                <w:sz w:val="28"/>
                <w:szCs w:val="28"/>
              </w:rPr>
            </w:pPr>
            <w:r>
              <w:rPr>
                <w:rFonts w:hint="eastAsia" w:ascii="宋体" w:hAnsi="宋体" w:eastAsia="宋体" w:cs="宋体"/>
                <w:b/>
                <w:bCs/>
                <w:color w:val="auto"/>
                <w:kern w:val="2"/>
                <w:sz w:val="28"/>
                <w:szCs w:val="36"/>
                <w:lang w:val="en-GB" w:eastAsia="zh-CN" w:bidi="ar-SA"/>
              </w:rPr>
              <w:t>“三重一大”决策运行监督</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eastAsia="宋体" w:cs="宋体"/>
                <w:color w:val="auto"/>
              </w:rPr>
            </w:pPr>
            <w:r>
              <w:rPr>
                <w:rFonts w:hint="eastAsia" w:ascii="宋体" w:hAnsi="宋体" w:eastAsia="宋体" w:cs="宋体"/>
                <w:b w:val="0"/>
                <w:color w:val="auto"/>
                <w:kern w:val="2"/>
                <w:sz w:val="28"/>
                <w:szCs w:val="36"/>
                <w:lang w:val="en-GB" w:eastAsia="zh-CN" w:bidi="ar-SA"/>
              </w:rPr>
              <w:t>三重一大”决策运行监督系统是对企业“重大事项决策工作”、“重要人事任免工作”、“重大项目安排工作”、“大额资金使用工作”运行进行监督管理。</w:t>
            </w:r>
          </w:p>
        </w:tc>
        <w:tc>
          <w:tcPr>
            <w:tcW w:w="160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X</w:t>
            </w: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rPr>
            </w:pPr>
            <w:r>
              <w:rPr>
                <w:rFonts w:hint="eastAsia" w:ascii="宋体" w:hAnsi="宋体" w:cs="宋体"/>
                <w:b/>
                <w:bCs/>
                <w:color w:val="auto"/>
                <w:kern w:val="2"/>
                <w:sz w:val="28"/>
                <w:szCs w:val="36"/>
                <w:lang w:val="en-GB" w:eastAsia="zh-CN" w:bidi="ar-SA"/>
              </w:rPr>
              <w:t>财务监管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eastAsia="宋体" w:cs="宋体"/>
                <w:color w:val="auto"/>
                <w:spacing w:val="-5"/>
                <w:sz w:val="28"/>
                <w:szCs w:val="28"/>
              </w:rPr>
            </w:pPr>
            <w:r>
              <w:rPr>
                <w:rFonts w:hint="eastAsia" w:ascii="宋体" w:hAnsi="宋体" w:cs="宋体"/>
                <w:color w:val="auto"/>
                <w:sz w:val="28"/>
                <w:szCs w:val="36"/>
                <w:lang w:val="en-GB"/>
              </w:rPr>
              <w:t>系统通过从国资委监管的国有企业财务系统中调取相关数据，依据《企业会计准则》的规定转换为标准的财务报表并汇总形成国有企业财务报告及财务监管分析模型；同时对国有企业的预决算情况进行监督。</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X</w:t>
            </w: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eastAsia="宋体" w:cs="宋体"/>
                <w:color w:val="auto"/>
                <w:sz w:val="28"/>
                <w:szCs w:val="28"/>
              </w:rPr>
            </w:pPr>
            <w:r>
              <w:rPr>
                <w:rFonts w:hint="eastAsia" w:ascii="宋体" w:hAnsi="宋体" w:cs="宋体"/>
                <w:b/>
                <w:bCs/>
                <w:color w:val="auto"/>
                <w:kern w:val="2"/>
                <w:sz w:val="28"/>
                <w:szCs w:val="36"/>
                <w:lang w:val="en-GB" w:eastAsia="zh-CN" w:bidi="ar-SA"/>
              </w:rPr>
              <w:t>人事监管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eastAsia="宋体" w:cs="宋体"/>
                <w:color w:val="auto"/>
                <w:sz w:val="28"/>
                <w:szCs w:val="28"/>
              </w:rPr>
            </w:pPr>
            <w:r>
              <w:rPr>
                <w:rFonts w:hint="eastAsia" w:ascii="宋体" w:hAnsi="宋体" w:cs="宋体"/>
                <w:color w:val="auto"/>
                <w:sz w:val="28"/>
                <w:szCs w:val="36"/>
                <w:lang w:val="en-GB"/>
              </w:rPr>
              <w:t>人事监管模块采集监管企业人事信息，并对国有企业人事信息进行管理、分析统计。系统支持查询统计功能，可根据企业、按年龄、按学历、按专业、按专业技术等维度进行查询、统计。</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X</w:t>
            </w: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cs="宋体"/>
                <w:b/>
                <w:bCs/>
                <w:color w:val="auto"/>
                <w:kern w:val="2"/>
                <w:sz w:val="28"/>
                <w:szCs w:val="36"/>
                <w:lang w:val="en-GB" w:eastAsia="zh-CN" w:bidi="ar-SA"/>
              </w:rPr>
            </w:pPr>
            <w:r>
              <w:rPr>
                <w:rFonts w:hint="eastAsia" w:ascii="宋体" w:hAnsi="宋体" w:cs="宋体"/>
                <w:b/>
                <w:bCs/>
                <w:color w:val="auto"/>
                <w:sz w:val="28"/>
                <w:szCs w:val="36"/>
                <w:lang w:val="en-GB"/>
              </w:rPr>
              <w:t>投融资产权监管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GB"/>
              </w:rPr>
            </w:pPr>
            <w:r>
              <w:rPr>
                <w:rFonts w:hint="eastAsia" w:ascii="宋体" w:hAnsi="宋体" w:cs="宋体"/>
                <w:color w:val="auto"/>
                <w:sz w:val="28"/>
                <w:szCs w:val="36"/>
                <w:lang w:val="en-GB"/>
              </w:rPr>
              <w:t>投融资产权监管实现帮助集团化企业进行投资实体的基础信息管理，包括：投资、融资、企业基本信息、产权登记、资产评估备案、产权交易，也可进行信息查询与统计。</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cs="宋体"/>
                <w:b/>
                <w:bCs/>
                <w:color w:val="auto"/>
                <w:kern w:val="2"/>
                <w:sz w:val="28"/>
                <w:szCs w:val="36"/>
                <w:lang w:val="en-GB" w:eastAsia="zh-CN" w:bidi="ar-SA"/>
              </w:rPr>
            </w:pPr>
            <w:r>
              <w:rPr>
                <w:rFonts w:hint="eastAsia" w:ascii="宋体" w:hAnsi="宋体" w:cs="宋体"/>
                <w:b/>
                <w:bCs/>
                <w:color w:val="auto"/>
                <w:sz w:val="28"/>
                <w:szCs w:val="36"/>
                <w:lang w:val="en-GB" w:eastAsia="zh-CN"/>
              </w:rPr>
              <w:t>考核改革监管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GB"/>
              </w:rPr>
            </w:pPr>
            <w:r>
              <w:rPr>
                <w:rFonts w:hint="eastAsia" w:ascii="宋体" w:hAnsi="宋体" w:cs="宋体"/>
                <w:color w:val="auto"/>
                <w:sz w:val="28"/>
                <w:szCs w:val="36"/>
                <w:lang w:val="en-GB"/>
              </w:rPr>
              <w:t>考核改革监管模块实现对工资总额情况、薪酬情况、业绩考核情况、国有资产收益分配情况、企业资金申报情况、企业改革情况、企业改组情况等进行管理和统计分析。</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cs="宋体"/>
                <w:b/>
                <w:bCs/>
                <w:color w:val="auto"/>
                <w:kern w:val="2"/>
                <w:sz w:val="28"/>
                <w:szCs w:val="36"/>
                <w:lang w:val="en-GB" w:eastAsia="zh-CN" w:bidi="ar-SA"/>
              </w:rPr>
            </w:pPr>
            <w:r>
              <w:rPr>
                <w:rFonts w:hint="eastAsia" w:ascii="宋体" w:hAnsi="宋体" w:cs="宋体"/>
                <w:b/>
                <w:bCs/>
                <w:color w:val="auto"/>
                <w:sz w:val="28"/>
                <w:szCs w:val="36"/>
                <w:lang w:val="en-GB" w:eastAsia="zh-CN"/>
              </w:rPr>
              <w:t>合同备案监管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GB"/>
              </w:rPr>
            </w:pPr>
            <w:r>
              <w:rPr>
                <w:rFonts w:hint="eastAsia" w:ascii="宋体" w:hAnsi="宋体" w:cs="宋体"/>
                <w:color w:val="auto"/>
                <w:sz w:val="28"/>
                <w:szCs w:val="36"/>
                <w:lang w:val="en-GB"/>
              </w:rPr>
              <w:t>合同备案监管模块实现对合同进行全过程的监控，即从合同的登记、审批、变更、查询、结转等过程进行严格把控，规范合同资金的使用和业务管理，可以规范合同登记等一系列具体工作。通过监督检查备案合同的订立和履行情况，帮助企业解决合同履行中出现的问题，促使企业全面执行合同中的各项规定，保证合同的顺利履行。</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cs="宋体"/>
                <w:b/>
                <w:bCs/>
                <w:color w:val="auto"/>
                <w:kern w:val="2"/>
                <w:sz w:val="28"/>
                <w:szCs w:val="36"/>
                <w:lang w:val="en-GB" w:eastAsia="zh-CN" w:bidi="ar-SA"/>
              </w:rPr>
            </w:pPr>
            <w:r>
              <w:rPr>
                <w:rFonts w:hint="eastAsia" w:ascii="宋体" w:hAnsi="宋体" w:cs="宋体"/>
                <w:b/>
                <w:bCs/>
                <w:color w:val="auto"/>
                <w:sz w:val="28"/>
                <w:szCs w:val="36"/>
                <w:lang w:val="en-GB" w:eastAsia="zh-CN"/>
              </w:rPr>
              <w:t>招标采购监管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GB"/>
              </w:rPr>
            </w:pPr>
            <w:r>
              <w:rPr>
                <w:rFonts w:hint="eastAsia" w:ascii="宋体" w:hAnsi="宋体" w:cs="宋体"/>
                <w:color w:val="auto"/>
                <w:sz w:val="28"/>
                <w:szCs w:val="36"/>
                <w:lang w:val="en-GB"/>
              </w:rPr>
              <w:t>企业</w:t>
            </w:r>
            <w:r>
              <w:rPr>
                <w:rFonts w:hint="eastAsia" w:ascii="宋体" w:hAnsi="宋体" w:cs="宋体"/>
                <w:color w:val="auto"/>
                <w:sz w:val="28"/>
                <w:szCs w:val="36"/>
                <w:lang w:val="zh-CN"/>
              </w:rPr>
              <w:t>采购作为</w:t>
            </w:r>
            <w:r>
              <w:rPr>
                <w:rFonts w:hint="eastAsia" w:ascii="宋体" w:hAnsi="宋体" w:cs="宋体"/>
                <w:color w:val="auto"/>
                <w:sz w:val="28"/>
                <w:szCs w:val="36"/>
                <w:lang w:val="en-GB"/>
              </w:rPr>
              <w:t>企业</w:t>
            </w:r>
            <w:r>
              <w:rPr>
                <w:rFonts w:hint="eastAsia" w:ascii="宋体" w:hAnsi="宋体" w:cs="宋体"/>
                <w:color w:val="auto"/>
                <w:sz w:val="28"/>
                <w:szCs w:val="36"/>
                <w:lang w:val="zh-CN"/>
              </w:rPr>
              <w:t>日常开展的重要经济活动，伴随着资金的流出和</w:t>
            </w:r>
            <w:r>
              <w:rPr>
                <w:rFonts w:hint="eastAsia" w:ascii="宋体" w:hAnsi="宋体" w:cs="宋体"/>
                <w:color w:val="auto"/>
                <w:sz w:val="28"/>
                <w:szCs w:val="36"/>
                <w:lang w:val="en-GB"/>
              </w:rPr>
              <w:t>公司</w:t>
            </w:r>
            <w:r>
              <w:rPr>
                <w:rFonts w:hint="eastAsia" w:ascii="宋体" w:hAnsi="宋体" w:cs="宋体"/>
                <w:color w:val="auto"/>
                <w:sz w:val="28"/>
                <w:szCs w:val="36"/>
                <w:lang w:val="zh-CN"/>
              </w:rPr>
              <w:t>资产的流入，极易导致舞弊、腐败等问题，成为</w:t>
            </w:r>
            <w:r>
              <w:rPr>
                <w:rFonts w:hint="eastAsia" w:ascii="宋体" w:hAnsi="宋体" w:cs="宋体"/>
                <w:color w:val="auto"/>
                <w:sz w:val="28"/>
                <w:szCs w:val="36"/>
                <w:lang w:val="en-GB"/>
              </w:rPr>
              <w:t>企业人员</w:t>
            </w:r>
            <w:r>
              <w:rPr>
                <w:rFonts w:hint="eastAsia" w:ascii="宋体" w:hAnsi="宋体" w:cs="宋体"/>
                <w:color w:val="auto"/>
                <w:sz w:val="28"/>
                <w:szCs w:val="36"/>
                <w:lang w:val="zh-CN"/>
              </w:rPr>
              <w:t>违规、违法的高危领域。近年来，个别</w:t>
            </w:r>
            <w:r>
              <w:rPr>
                <w:rFonts w:hint="eastAsia" w:ascii="宋体" w:hAnsi="宋体" w:cs="宋体"/>
                <w:color w:val="auto"/>
                <w:sz w:val="28"/>
                <w:szCs w:val="36"/>
                <w:lang w:val="en-GB"/>
              </w:rPr>
              <w:t>企业</w:t>
            </w:r>
            <w:r>
              <w:rPr>
                <w:rFonts w:hint="eastAsia" w:ascii="宋体" w:hAnsi="宋体" w:cs="宋体"/>
                <w:color w:val="auto"/>
                <w:sz w:val="28"/>
                <w:szCs w:val="36"/>
                <w:lang w:val="zh-CN"/>
              </w:rPr>
              <w:t>存在</w:t>
            </w:r>
            <w:r>
              <w:rPr>
                <w:rFonts w:hint="eastAsia" w:ascii="宋体" w:hAnsi="宋体" w:cs="宋体"/>
                <w:color w:val="auto"/>
                <w:sz w:val="28"/>
                <w:szCs w:val="36"/>
                <w:lang w:val="en-GB"/>
              </w:rPr>
              <w:t>采购不规范、</w:t>
            </w:r>
            <w:r>
              <w:rPr>
                <w:rFonts w:hint="eastAsia" w:ascii="宋体" w:hAnsi="宋体" w:cs="宋体"/>
                <w:color w:val="auto"/>
                <w:sz w:val="28"/>
                <w:szCs w:val="36"/>
                <w:lang w:val="zh-CN"/>
              </w:rPr>
              <w:t>操作执行环节不规范、运行机制不完善、监督处罚不到位、采购效率低下、采购价格偏高等现象，</w:t>
            </w:r>
            <w:r>
              <w:rPr>
                <w:rFonts w:hint="eastAsia" w:ascii="宋体" w:hAnsi="宋体" w:cs="宋体"/>
                <w:color w:val="auto"/>
                <w:sz w:val="28"/>
                <w:szCs w:val="36"/>
                <w:lang w:val="en-GB"/>
              </w:rPr>
              <w:t>给企业</w:t>
            </w:r>
            <w:r>
              <w:rPr>
                <w:rFonts w:hint="eastAsia" w:ascii="宋体" w:hAnsi="宋体" w:cs="宋体"/>
                <w:color w:val="auto"/>
                <w:sz w:val="28"/>
                <w:szCs w:val="36"/>
                <w:lang w:val="zh-CN"/>
              </w:rPr>
              <w:t>造成资金的损失浪费。因此，</w:t>
            </w:r>
            <w:r>
              <w:rPr>
                <w:rFonts w:hint="eastAsia" w:ascii="宋体" w:hAnsi="宋体" w:cs="宋体"/>
                <w:color w:val="auto"/>
                <w:sz w:val="28"/>
                <w:szCs w:val="36"/>
                <w:lang w:val="en-GB"/>
              </w:rPr>
              <w:t>需对企业招标采购进行监管。</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cs="宋体"/>
                <w:b/>
                <w:bCs/>
                <w:color w:val="auto"/>
                <w:kern w:val="2"/>
                <w:sz w:val="28"/>
                <w:szCs w:val="36"/>
                <w:lang w:val="en-GB" w:eastAsia="zh-CN" w:bidi="ar-SA"/>
              </w:rPr>
            </w:pPr>
            <w:r>
              <w:rPr>
                <w:rFonts w:hint="eastAsia" w:ascii="宋体" w:hAnsi="宋体" w:cs="宋体"/>
                <w:b/>
                <w:bCs/>
                <w:color w:val="auto"/>
                <w:sz w:val="28"/>
                <w:szCs w:val="36"/>
                <w:lang w:val="en-US" w:eastAsia="zh-CN"/>
              </w:rPr>
              <w:t>资产监管</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GB"/>
              </w:rPr>
            </w:pPr>
            <w:r>
              <w:rPr>
                <w:rFonts w:hint="eastAsia" w:ascii="宋体" w:hAnsi="宋体" w:cs="宋体"/>
                <w:color w:val="auto"/>
                <w:sz w:val="28"/>
                <w:szCs w:val="36"/>
                <w:lang w:val="en-US" w:eastAsia="zh-CN"/>
              </w:rPr>
              <w:t>资产监管是对国有企业在资产配置、资产使用、资产处置、资产评估、资产清查等过程中所开展的监管活动，具体包括：资产卡片、资产验收登记监管、资产变动监管、资产处置监管、资产折旧监管等。</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eastAsia" w:ascii="宋体" w:hAnsi="宋体" w:cs="宋体"/>
                <w:b/>
                <w:bCs/>
                <w:color w:val="auto"/>
                <w:sz w:val="28"/>
                <w:szCs w:val="36"/>
                <w:lang w:val="en-US" w:eastAsia="zh-CN"/>
              </w:rPr>
            </w:pPr>
            <w:r>
              <w:rPr>
                <w:rFonts w:hint="eastAsia" w:ascii="宋体" w:hAnsi="宋体" w:cs="宋体"/>
                <w:b/>
                <w:bCs/>
                <w:color w:val="auto"/>
                <w:sz w:val="28"/>
                <w:szCs w:val="36"/>
                <w:lang w:val="en-GB" w:eastAsia="zh-CN"/>
              </w:rPr>
              <w:t>预警管理</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US" w:eastAsia="zh-CN"/>
              </w:rPr>
            </w:pPr>
            <w:r>
              <w:rPr>
                <w:rFonts w:hint="eastAsia" w:ascii="宋体" w:hAnsi="宋体" w:cs="宋体"/>
                <w:color w:val="auto"/>
                <w:sz w:val="28"/>
                <w:szCs w:val="36"/>
                <w:lang w:val="en-GB"/>
              </w:rPr>
              <w:t>系统提供自定义建立预警模型的功能、自定义结果和报送的功能，建立预警模型库，可以对预警模型进行创建、修改、删除和维护。</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trHeight w:val="4450" w:hRule="atLeast"/>
          <w:jc w:val="center"/>
        </w:trPr>
        <w:tc>
          <w:tcPr>
            <w:tcW w:w="106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autoSpaceDE w:val="0"/>
              <w:autoSpaceDN w:val="0"/>
              <w:spacing w:line="5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13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rPr>
                <w:rFonts w:hint="default" w:ascii="宋体" w:hAnsi="宋体" w:cs="宋体"/>
                <w:b/>
                <w:bCs/>
                <w:color w:val="auto"/>
                <w:sz w:val="28"/>
                <w:szCs w:val="36"/>
                <w:lang w:val="en-US" w:eastAsia="zh-CN"/>
              </w:rPr>
            </w:pPr>
            <w:r>
              <w:rPr>
                <w:rFonts w:hint="eastAsia" w:ascii="宋体" w:hAnsi="宋体" w:cs="宋体"/>
                <w:b/>
                <w:bCs/>
                <w:color w:val="auto"/>
                <w:sz w:val="28"/>
                <w:szCs w:val="36"/>
                <w:lang w:val="en-US" w:eastAsia="zh-CN"/>
              </w:rPr>
              <w:t>数据可视化</w:t>
            </w:r>
          </w:p>
        </w:tc>
        <w:tc>
          <w:tcPr>
            <w:tcW w:w="4331" w:type="dxa"/>
            <w:tcBorders>
              <w:top w:val="single" w:color="auto" w:sz="4" w:space="0"/>
              <w:left w:val="nil"/>
              <w:bottom w:val="single" w:color="000000" w:sz="8" w:space="0"/>
              <w:right w:val="single" w:color="auto" w:sz="4" w:space="0"/>
            </w:tcBorders>
            <w:shd w:val="clear" w:color="auto" w:fill="FFFFFF"/>
            <w:noWrap w:val="0"/>
            <w:vAlign w:val="center"/>
          </w:tcPr>
          <w:p>
            <w:pPr>
              <w:autoSpaceDE w:val="0"/>
              <w:autoSpaceDN w:val="0"/>
              <w:spacing w:line="500" w:lineRule="exact"/>
              <w:rPr>
                <w:rFonts w:hint="eastAsia" w:ascii="宋体" w:hAnsi="宋体" w:cs="宋体"/>
                <w:color w:val="auto"/>
                <w:sz w:val="28"/>
                <w:szCs w:val="36"/>
                <w:lang w:val="en-GB"/>
              </w:rPr>
            </w:pPr>
            <w:r>
              <w:rPr>
                <w:rFonts w:hint="eastAsia" w:ascii="宋体" w:hAnsi="宋体" w:cs="宋体"/>
                <w:color w:val="auto"/>
                <w:sz w:val="28"/>
                <w:szCs w:val="36"/>
                <w:lang w:val="en-GB" w:eastAsia="zh-CN"/>
              </w:rPr>
              <w:t>建设一站式大数据分析平台，迅速响应用户复杂、多变、的业务分析需求，深层次解答数据问题，挖掘数据价值。支持多种类型的数据源连接。只需简单的点击拖拽，即可实现不同源的数据组合，轻松构建数据集模型，并应用于精美的可视化报告和多维度多层次的数据分析。</w:t>
            </w:r>
          </w:p>
        </w:tc>
        <w:tc>
          <w:tcPr>
            <w:tcW w:w="1605" w:type="dxa"/>
            <w:tcBorders>
              <w:top w:val="single" w:color="auto" w:sz="4" w:space="0"/>
              <w:left w:val="nil"/>
              <w:bottom w:val="single" w:color="000000" w:sz="8" w:space="0"/>
              <w:right w:val="single" w:color="auto" w:sz="4" w:space="0"/>
            </w:tcBorders>
            <w:shd w:val="clear" w:color="auto" w:fill="FFFFFF"/>
            <w:noWrap w:val="0"/>
            <w:vAlign w:val="center"/>
          </w:tcPr>
          <w:p>
            <w:pPr>
              <w:widowControl/>
              <w:spacing w:line="500" w:lineRule="exact"/>
              <w:jc w:val="center"/>
              <w:rPr>
                <w:rFonts w:hint="eastAsia" w:ascii="宋体" w:hAnsi="宋体" w:eastAsia="宋体" w:cs="宋体"/>
                <w:color w:val="auto"/>
                <w:kern w:val="0"/>
                <w:sz w:val="28"/>
                <w:szCs w:val="28"/>
              </w:rPr>
            </w:pPr>
          </w:p>
        </w:tc>
      </w:tr>
      <w:tr>
        <w:tblPrEx>
          <w:tblCellMar>
            <w:top w:w="0" w:type="dxa"/>
            <w:left w:w="0" w:type="dxa"/>
            <w:bottom w:w="0" w:type="dxa"/>
            <w:right w:w="0" w:type="dxa"/>
          </w:tblCellMar>
        </w:tblPrEx>
        <w:trPr>
          <w:jc w:val="center"/>
        </w:trPr>
        <w:tc>
          <w:tcPr>
            <w:tcW w:w="2374" w:type="dxa"/>
            <w:gridSpan w:val="2"/>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合计</w:t>
            </w:r>
          </w:p>
        </w:tc>
        <w:tc>
          <w:tcPr>
            <w:tcW w:w="4331" w:type="dxa"/>
            <w:tcBorders>
              <w:top w:val="single" w:color="auto" w:sz="4" w:space="0"/>
              <w:left w:val="nil"/>
              <w:bottom w:val="single" w:color="auto" w:sz="4" w:space="0"/>
              <w:right w:val="single" w:color="000000" w:sz="8" w:space="0"/>
            </w:tcBorders>
            <w:shd w:val="clear" w:color="auto" w:fill="FFFFFF"/>
            <w:noWrap w:val="0"/>
            <w:vAlign w:val="center"/>
          </w:tcPr>
          <w:p>
            <w:pPr>
              <w:widowControl/>
              <w:spacing w:line="500" w:lineRule="exac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含税</w:t>
            </w:r>
          </w:p>
        </w:tc>
        <w:tc>
          <w:tcPr>
            <w:tcW w:w="1605" w:type="dxa"/>
            <w:tcBorders>
              <w:top w:val="single" w:color="auto" w:sz="4" w:space="0"/>
              <w:left w:val="nil"/>
              <w:bottom w:val="single" w:color="auto" w:sz="4" w:space="0"/>
              <w:right w:val="single" w:color="000000" w:sz="8" w:space="0"/>
            </w:tcBorders>
            <w:shd w:val="clear" w:color="auto" w:fill="FFFFFF"/>
            <w:noWrap w:val="0"/>
            <w:vAlign w:val="center"/>
          </w:tcPr>
          <w:p>
            <w:pPr>
              <w:widowControl/>
              <w:spacing w:line="500" w:lineRule="exac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auto"/>
          <w:kern w:val="0"/>
          <w:sz w:val="32"/>
          <w:szCs w:val="32"/>
          <w:shd w:val="clear" w:color="auto" w:fill="FFFFFF"/>
          <w:lang w:val="en-US" w:eastAsia="zh-CN" w:bidi="ar"/>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auto"/>
          <w:kern w:val="0"/>
          <w:sz w:val="32"/>
          <w:szCs w:val="32"/>
          <w:shd w:val="clear" w:color="auto" w:fill="FFFFFF"/>
          <w:lang w:bidi="ar"/>
        </w:rPr>
        <w:t> </w:t>
      </w:r>
    </w:p>
    <w:p>
      <w:pPr>
        <w:widowControl/>
        <w:shd w:val="clear" w:color="auto" w:fill="FFFFFF"/>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auto"/>
        </w:rPr>
      </w:pPr>
      <w:r>
        <w:rPr>
          <w:rFonts w:hint="eastAsia" w:ascii="仿宋_GB2312" w:hAnsi="仿宋_GB2312" w:eastAsia="仿宋_GB2312" w:cs="仿宋_GB2312"/>
          <w:color w:val="auto"/>
          <w:kern w:val="0"/>
          <w:sz w:val="32"/>
          <w:szCs w:val="32"/>
          <w:shd w:val="clear" w:color="auto" w:fill="FFFFFF"/>
          <w:lang w:bidi="ar"/>
        </w:rPr>
        <w:t xml:space="preserve">                              20</w:t>
      </w:r>
      <w:r>
        <w:rPr>
          <w:rFonts w:hint="eastAsia" w:ascii="仿宋_GB2312" w:hAnsi="仿宋_GB2312" w:eastAsia="仿宋_GB2312" w:cs="仿宋_GB2312"/>
          <w:color w:val="auto"/>
          <w:kern w:val="0"/>
          <w:sz w:val="32"/>
          <w:szCs w:val="32"/>
          <w:shd w:val="clear" w:color="auto" w:fill="FFFFFF"/>
          <w:lang w:val="en-US" w:eastAsia="zh-CN" w:bidi="ar"/>
        </w:rPr>
        <w:t>21</w:t>
      </w:r>
      <w:r>
        <w:rPr>
          <w:rFonts w:hint="eastAsia" w:ascii="仿宋_GB2312" w:hAnsi="仿宋_GB2312" w:eastAsia="仿宋_GB2312" w:cs="仿宋_GB2312"/>
          <w:color w:val="auto"/>
          <w:kern w:val="0"/>
          <w:sz w:val="32"/>
          <w:szCs w:val="32"/>
          <w:shd w:val="clear" w:color="auto" w:fill="FFFFFF"/>
          <w:lang w:bidi="ar"/>
        </w:rPr>
        <w:t>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E2C47"/>
    <w:rsid w:val="2E4E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2021-08-13T04:01:00Z</dcterms:created>
  <dc:creator>云端~</dc:creator>
  <cp:lastModifiedBy>云端~</cp:lastModifiedBy>
  <dcterms:modified xsi:type="dcterms:W3CDTF">2021-08-13T04:02:03Z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9E319B5163DD48C09F47CDA8F5AB0D91</vt:lpwstr>
  </property>
</Properties>
</file>