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附件：（报价单可灵活设计，模板仅供参考）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</w:rPr>
        <w:t xml:space="preserve"> 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Times New Roman" w:hAnsi="Times New Roman" w:eastAsia="仿宋_GB2312"/>
          <w:kern w:val="0"/>
          <w:sz w:val="32"/>
          <w:szCs w:val="21"/>
        </w:rPr>
      </w:pPr>
      <w:r>
        <w:rPr>
          <w:rFonts w:hint="eastAsia" w:ascii="Times New Roman" w:hAnsi="Times New Roman" w:eastAsia="仿宋_GB2312"/>
          <w:kern w:val="0"/>
          <w:sz w:val="32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深汕特别合作区智慧城市研究院有限公司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2021年度深汕云服务器资源扩容（三期）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t>报价单</w:t>
      </w:r>
    </w:p>
    <w:bookmarkEnd w:id="1"/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 w:cs="黑体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  <w:t>二、报价明细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（一）报价明细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表1</w:t>
      </w:r>
    </w:p>
    <w:tbl>
      <w:tblPr>
        <w:tblStyle w:val="6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3"/>
        <w:gridCol w:w="2835"/>
        <w:gridCol w:w="1045"/>
        <w:gridCol w:w="939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Hlk5989400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>
            <w:r>
              <w:rPr>
                <w:rFonts w:hint="eastAsia"/>
              </w:rPr>
              <w:t>虚拟化服务器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合计（含税）：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以上报价均为含税价格；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报价单中必须要明确标明详细主要核心参数、品牌和具体型号，以及关键配件的核心参数；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2"/>
        <w:ind w:firstLine="640"/>
      </w:pPr>
    </w:p>
    <w:p>
      <w:pPr>
        <w:widowControl/>
        <w:shd w:val="clear" w:color="auto" w:fill="FFFFFF"/>
        <w:spacing w:line="500" w:lineRule="exact"/>
        <w:ind w:left="5220" w:leftChars="200" w:hanging="4800" w:hangingChars="15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                                            </w:t>
      </w:r>
    </w:p>
    <w:p>
      <w:pPr>
        <w:widowControl/>
        <w:shd w:val="clear" w:color="auto" w:fill="FFFFFF"/>
        <w:spacing w:line="500" w:lineRule="exact"/>
        <w:ind w:left="3570" w:leftChars="1700" w:firstLine="1280" w:firstLineChars="4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220" w:leftChars="200" w:hanging="4800" w:hanging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A6D"/>
    <w:multiLevelType w:val="multilevel"/>
    <w:tmpl w:val="08DD3A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5A83"/>
    <w:rsid w:val="150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2021-11-05T10:37:00Z</dcterms:created>
  <dc:creator>云端~</dc:creator>
  <cp:lastModifiedBy>云端~</cp:lastModifiedBy>
  <dcterms:modified xsi:type="dcterms:W3CDTF">2021-11-05T10:37:31Z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342B15A18DF743E296CD8662FC637FBA</vt:lpwstr>
  </property>
</Properties>
</file>