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val="0"/>
          <w:bCs w:val="0"/>
          <w:color w:val="000000"/>
          <w:kern w:val="0"/>
          <w:sz w:val="21"/>
          <w:szCs w:val="21"/>
          <w:highlight w:val="none"/>
          <w:shd w:val="clear" w:color="auto" w:fill="FFFFFF"/>
          <w:lang w:val="en-US" w:eastAsia="zh-CN" w:bidi="ar"/>
        </w:rPr>
      </w:pPr>
      <w:r>
        <w:rPr>
          <w:rFonts w:hint="eastAsia" w:ascii="宋体" w:hAnsi="宋体" w:eastAsia="宋体" w:cs="宋体"/>
          <w:b w:val="0"/>
          <w:bCs w:val="0"/>
          <w:color w:val="000000"/>
          <w:kern w:val="0"/>
          <w:sz w:val="21"/>
          <w:szCs w:val="21"/>
          <w:highlight w:val="none"/>
          <w:shd w:val="clear" w:color="auto" w:fill="FFFFFF"/>
          <w:lang w:val="en-US" w:eastAsia="zh-CN" w:bidi="ar"/>
        </w:rPr>
        <w:t>附件5</w:t>
      </w:r>
    </w:p>
    <w:p>
      <w:pPr>
        <w:jc w:val="center"/>
      </w:pPr>
      <w:r>
        <w:rPr>
          <w:rFonts w:hint="eastAsia" w:ascii="宋体" w:hAnsi="宋体" w:eastAsia="宋体" w:cs="宋体"/>
          <w:b w:val="0"/>
          <w:bCs w:val="0"/>
          <w:color w:val="000000"/>
          <w:kern w:val="0"/>
          <w:sz w:val="28"/>
          <w:szCs w:val="28"/>
          <w:highlight w:val="none"/>
          <w:shd w:val="clear" w:color="auto" w:fill="FFFFFF"/>
          <w:lang w:val="en-US" w:eastAsia="zh-CN" w:bidi="ar"/>
        </w:rPr>
        <w:t>查违控违APP住建应用功能清单</w:t>
      </w:r>
    </w:p>
    <w:tbl>
      <w:tblPr>
        <w:tblStyle w:val="4"/>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914"/>
        <w:gridCol w:w="1260"/>
        <w:gridCol w:w="2056"/>
        <w:gridCol w:w="1125"/>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shd w:val="clear" w:color="auto" w:fill="D7D7D7"/>
            <w:noWrap w:val="0"/>
            <w:vAlign w:val="center"/>
          </w:tcPr>
          <w:p>
            <w:pPr>
              <w:jc w:val="center"/>
              <w:rPr>
                <w:rFonts w:hint="eastAsia" w:ascii="等线" w:hAnsi="等线" w:eastAsia="等线" w:cs="等线"/>
                <w:color w:val="000000"/>
                <w:kern w:val="2"/>
                <w:sz w:val="18"/>
                <w:szCs w:val="18"/>
                <w:highlight w:val="none"/>
                <w:shd w:val="clear" w:color="auto" w:fill="auto"/>
                <w:lang w:val="en-US" w:eastAsia="zh-CN" w:bidi="ar"/>
              </w:rPr>
            </w:pPr>
            <w:r>
              <w:rPr>
                <w:rFonts w:hint="eastAsia" w:ascii="等线" w:hAnsi="等线" w:eastAsia="等线" w:cs="等线"/>
                <w:color w:val="000000"/>
                <w:sz w:val="18"/>
                <w:szCs w:val="18"/>
                <w:highlight w:val="none"/>
                <w:shd w:val="clear" w:color="auto" w:fill="auto"/>
                <w:lang w:val="en-US" w:eastAsia="zh-CN" w:bidi="ar"/>
              </w:rPr>
              <w:t>序号</w:t>
            </w:r>
          </w:p>
        </w:tc>
        <w:tc>
          <w:tcPr>
            <w:tcW w:w="914" w:type="dxa"/>
            <w:shd w:val="clear" w:color="auto" w:fill="D7D7D7"/>
            <w:noWrap w:val="0"/>
            <w:vAlign w:val="center"/>
          </w:tcPr>
          <w:p>
            <w:pPr>
              <w:jc w:val="center"/>
              <w:rPr>
                <w:rFonts w:hint="eastAsia" w:ascii="等线" w:hAnsi="等线" w:eastAsia="等线" w:cs="等线"/>
                <w:color w:val="000000"/>
                <w:kern w:val="2"/>
                <w:sz w:val="18"/>
                <w:szCs w:val="18"/>
                <w:highlight w:val="none"/>
                <w:shd w:val="clear" w:color="auto" w:fill="auto"/>
                <w:lang w:val="en-US" w:eastAsia="zh-CN" w:bidi="ar"/>
              </w:rPr>
            </w:pPr>
            <w:r>
              <w:rPr>
                <w:rFonts w:hint="eastAsia" w:ascii="等线" w:hAnsi="等线" w:eastAsia="等线" w:cs="等线"/>
                <w:color w:val="000000"/>
                <w:sz w:val="18"/>
                <w:szCs w:val="18"/>
                <w:highlight w:val="none"/>
                <w:shd w:val="clear" w:color="auto" w:fill="auto"/>
                <w:lang w:val="en-US" w:eastAsia="zh-CN" w:bidi="ar"/>
              </w:rPr>
              <w:t>项目</w:t>
            </w:r>
          </w:p>
        </w:tc>
        <w:tc>
          <w:tcPr>
            <w:tcW w:w="1260" w:type="dxa"/>
            <w:shd w:val="clear" w:color="auto" w:fill="D7D7D7"/>
            <w:noWrap w:val="0"/>
            <w:vAlign w:val="center"/>
          </w:tcPr>
          <w:p>
            <w:pPr>
              <w:jc w:val="center"/>
              <w:rPr>
                <w:rFonts w:hint="eastAsia" w:ascii="等线" w:hAnsi="等线" w:eastAsia="等线" w:cs="等线"/>
                <w:color w:val="000000"/>
                <w:kern w:val="2"/>
                <w:sz w:val="18"/>
                <w:szCs w:val="18"/>
                <w:highlight w:val="none"/>
                <w:shd w:val="clear" w:color="auto" w:fill="auto"/>
                <w:lang w:val="en-US" w:eastAsia="zh-CN" w:bidi="ar"/>
              </w:rPr>
            </w:pPr>
            <w:r>
              <w:rPr>
                <w:rFonts w:hint="eastAsia" w:ascii="等线" w:hAnsi="等线" w:eastAsia="等线" w:cs="等线"/>
                <w:color w:val="000000"/>
                <w:sz w:val="18"/>
                <w:szCs w:val="18"/>
                <w:highlight w:val="none"/>
                <w:shd w:val="clear" w:color="auto" w:fill="auto"/>
                <w:lang w:val="en-US" w:eastAsia="zh-CN" w:bidi="ar"/>
              </w:rPr>
              <w:t>一级功能</w:t>
            </w:r>
          </w:p>
        </w:tc>
        <w:tc>
          <w:tcPr>
            <w:tcW w:w="2056" w:type="dxa"/>
            <w:shd w:val="clear" w:color="auto" w:fill="D7D7D7"/>
            <w:noWrap w:val="0"/>
            <w:vAlign w:val="center"/>
          </w:tcPr>
          <w:p>
            <w:pPr>
              <w:jc w:val="center"/>
              <w:rPr>
                <w:rFonts w:hint="eastAsia" w:ascii="等线" w:hAnsi="等线" w:eastAsia="等线" w:cs="等线"/>
                <w:color w:val="000000"/>
                <w:kern w:val="2"/>
                <w:sz w:val="18"/>
                <w:szCs w:val="18"/>
                <w:highlight w:val="none"/>
                <w:shd w:val="clear" w:color="auto" w:fill="auto"/>
                <w:lang w:val="en-US" w:eastAsia="zh-CN" w:bidi="ar"/>
              </w:rPr>
            </w:pPr>
            <w:r>
              <w:rPr>
                <w:rFonts w:hint="eastAsia" w:ascii="等线" w:hAnsi="等线" w:eastAsia="等线" w:cs="等线"/>
                <w:color w:val="000000"/>
                <w:sz w:val="18"/>
                <w:szCs w:val="18"/>
                <w:highlight w:val="none"/>
                <w:shd w:val="clear" w:color="auto" w:fill="auto"/>
                <w:lang w:val="en-US" w:eastAsia="zh-CN" w:bidi="ar"/>
              </w:rPr>
              <w:t>二级功能</w:t>
            </w:r>
          </w:p>
        </w:tc>
        <w:tc>
          <w:tcPr>
            <w:tcW w:w="1125" w:type="dxa"/>
            <w:shd w:val="clear" w:color="auto" w:fill="D7D7D7"/>
            <w:noWrap w:val="0"/>
            <w:vAlign w:val="center"/>
          </w:tcPr>
          <w:p>
            <w:pPr>
              <w:jc w:val="center"/>
              <w:rPr>
                <w:rFonts w:hint="eastAsia" w:ascii="等线" w:hAnsi="等线" w:eastAsia="等线" w:cs="等线"/>
                <w:color w:val="000000"/>
                <w:kern w:val="2"/>
                <w:sz w:val="18"/>
                <w:szCs w:val="18"/>
                <w:highlight w:val="none"/>
                <w:shd w:val="clear" w:color="auto" w:fill="auto"/>
                <w:lang w:val="en-US" w:eastAsia="zh-CN" w:bidi="ar"/>
              </w:rPr>
            </w:pPr>
            <w:r>
              <w:rPr>
                <w:rFonts w:hint="eastAsia" w:ascii="等线" w:hAnsi="等线" w:eastAsia="等线" w:cs="等线"/>
                <w:color w:val="000000"/>
                <w:sz w:val="18"/>
                <w:szCs w:val="18"/>
                <w:highlight w:val="none"/>
                <w:shd w:val="clear" w:color="auto" w:fill="auto"/>
                <w:lang w:val="en-US" w:eastAsia="zh-CN" w:bidi="ar"/>
              </w:rPr>
              <w:t>三级功能</w:t>
            </w:r>
          </w:p>
        </w:tc>
        <w:tc>
          <w:tcPr>
            <w:tcW w:w="2877" w:type="dxa"/>
            <w:shd w:val="clear" w:color="auto" w:fill="D7D7D7"/>
            <w:noWrap w:val="0"/>
            <w:vAlign w:val="center"/>
          </w:tcPr>
          <w:p>
            <w:pPr>
              <w:jc w:val="center"/>
              <w:rPr>
                <w:rFonts w:hint="eastAsia" w:ascii="等线" w:hAnsi="等线" w:eastAsia="等线" w:cs="等线"/>
                <w:color w:val="000000"/>
                <w:kern w:val="2"/>
                <w:sz w:val="18"/>
                <w:szCs w:val="18"/>
                <w:highlight w:val="none"/>
                <w:shd w:val="clear" w:color="auto" w:fill="auto"/>
                <w:lang w:val="en-US" w:eastAsia="zh-CN" w:bidi="ar"/>
              </w:rPr>
            </w:pPr>
            <w:r>
              <w:rPr>
                <w:rFonts w:hint="eastAsia" w:ascii="等线" w:hAnsi="等线" w:eastAsia="等线" w:cs="等线"/>
                <w:color w:val="000000"/>
                <w:sz w:val="18"/>
                <w:szCs w:val="18"/>
                <w:highlight w:val="none"/>
                <w:shd w:val="clear" w:color="auto" w:fill="auto"/>
                <w:lang w:val="en-US" w:eastAsia="zh-CN" w:bidi="ar"/>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1</w:t>
            </w:r>
          </w:p>
        </w:tc>
        <w:tc>
          <w:tcPr>
            <w:tcW w:w="914" w:type="dxa"/>
            <w:vMerge w:val="restart"/>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查违控违APP住建应用</w:t>
            </w:r>
          </w:p>
        </w:tc>
        <w:tc>
          <w:tcPr>
            <w:tcW w:w="1260" w:type="dxa"/>
            <w:vMerge w:val="restart"/>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数据查看</w:t>
            </w: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农村非商品住宅建设数据查看</w:t>
            </w:r>
          </w:p>
        </w:tc>
        <w:tc>
          <w:tcPr>
            <w:tcW w:w="1125"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在APP中能对审批完成的农村非商品住宅建设数据进行查看，显示申报的各类详细数据信息，执法人员可根据此部分数据对建设情况进行监察，对面积、高度、风貌等进行核实，防止出现违规情况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2</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小散工程零星作业查看</w:t>
            </w:r>
          </w:p>
        </w:tc>
        <w:tc>
          <w:tcPr>
            <w:tcW w:w="1125"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在APP中能对备案的小散工程和零星作业数据进行查看，用于巡查人员在现场确定作业的合规性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3</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建筑数据查看</w:t>
            </w:r>
          </w:p>
        </w:tc>
        <w:tc>
          <w:tcPr>
            <w:tcW w:w="1125"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执法人员可对其所在位置周边的建筑数据进行查看，查看建筑的各类参数及照片情况，和目前情况进行比对，确认其是否有进行改造等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4</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违建数据查看</w:t>
            </w:r>
          </w:p>
        </w:tc>
        <w:tc>
          <w:tcPr>
            <w:tcW w:w="1125"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执法人员可对其所在位置周边的违章建筑数据进行查看，查看违章建筑详细信息，在巡查时进行比对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5</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日常巡查数据查看</w:t>
            </w:r>
          </w:p>
        </w:tc>
        <w:tc>
          <w:tcPr>
            <w:tcW w:w="1125"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执法人员可对各类建筑的历史巡查数据进行查看并可查看历史巡查时的照片和视频</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614F5"/>
    <w:rsid w:val="54461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2"/>
      <w:lang w:val="en-US" w:eastAsia="zh-CN" w:bidi="ar"/>
    </w:rPr>
  </w:style>
  <w:style w:type="table" w:styleId="4">
    <w:name w:val="Table Grid"/>
    <w:basedOn w:val="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2022-01-11T07:59:00Z</dcterms:created>
  <dc:creator>家婉</dc:creator>
  <cp:lastModifiedBy>家婉</cp:lastModifiedBy>
  <dcterms:modified xsi:type="dcterms:W3CDTF">2022-01-11T07:59:07Z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4A9EE22FE5214AFD896C52737FF82F92</vt:lpwstr>
  </property>
</Properties>
</file>