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outlineLvl w:val="1"/>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6"/>
          <w:rFonts w:hint="eastAsia" w:ascii="仿宋_GB2312" w:hAnsi="仿宋_GB2312" w:eastAsia="仿宋_GB2312" w:cs="仿宋_GB2312"/>
          <w:color w:val="000000"/>
          <w:kern w:val="0"/>
          <w:sz w:val="32"/>
          <w:szCs w:val="32"/>
          <w:shd w:val="clear" w:color="auto" w:fill="FFFFFF"/>
          <w:lang w:bidi="ar"/>
        </w:rPr>
      </w:pPr>
    </w:p>
    <w:p>
      <w:pPr>
        <w:spacing w:line="600" w:lineRule="exact"/>
        <w:jc w:val="center"/>
        <w:outlineLvl w:val="0"/>
        <w:rPr>
          <w:rFonts w:ascii="方正小标宋简体" w:eastAsia="方正小标宋简体"/>
          <w:b w:val="0"/>
          <w:bCs w:val="0"/>
          <w:kern w:val="44"/>
          <w:sz w:val="44"/>
          <w:szCs w:val="44"/>
          <w:shd w:val="clear" w:color="auto" w:fill="FFFFFF"/>
        </w:rPr>
      </w:pPr>
      <w:r>
        <w:rPr>
          <w:rFonts w:hint="eastAsia" w:ascii="方正小标宋简体" w:eastAsia="方正小标宋简体"/>
          <w:b w:val="0"/>
          <w:bCs w:val="0"/>
          <w:kern w:val="44"/>
          <w:sz w:val="44"/>
          <w:szCs w:val="44"/>
          <w:shd w:val="clear" w:color="auto" w:fill="FFFFFF"/>
        </w:rPr>
        <w:t>202</w:t>
      </w:r>
      <w:r>
        <w:rPr>
          <w:rFonts w:hint="eastAsia" w:ascii="方正小标宋简体" w:eastAsia="方正小标宋简体"/>
          <w:b w:val="0"/>
          <w:bCs w:val="0"/>
          <w:kern w:val="44"/>
          <w:sz w:val="44"/>
          <w:szCs w:val="44"/>
          <w:shd w:val="clear" w:color="auto" w:fill="FFFFFF"/>
          <w:lang w:val="en-US" w:eastAsia="zh-CN"/>
        </w:rPr>
        <w:t>2</w:t>
      </w:r>
      <w:r>
        <w:rPr>
          <w:rFonts w:hint="eastAsia" w:ascii="方正小标宋简体" w:eastAsia="方正小标宋简体"/>
          <w:b w:val="0"/>
          <w:bCs w:val="0"/>
          <w:kern w:val="44"/>
          <w:sz w:val="44"/>
          <w:szCs w:val="44"/>
          <w:shd w:val="clear" w:color="auto" w:fill="FFFFFF"/>
        </w:rPr>
        <w:t>年度深汕特别合作区攻防演练与驻场运维服务项目报价单</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00" w:lineRule="exact"/>
        <w:jc w:val="left"/>
        <w:outlineLvl w:val="0"/>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00" w:lineRule="exact"/>
        <w:ind w:left="638" w:leftChars="304" w:firstLine="0" w:firstLineChars="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shd w:val="clear" w:color="auto" w:fill="FFFFFF"/>
          <w:lang w:val="en-US" w:eastAsia="zh-CN" w:bidi="ar"/>
        </w:rPr>
        <w:t>2022年度深汕特别合作区攻防演练与驻场运维服务项目</w:t>
      </w:r>
    </w:p>
    <w:p>
      <w:pPr>
        <w:pStyle w:val="3"/>
        <w:widowControl/>
        <w:shd w:val="clear" w:color="auto" w:fill="FFFFFF"/>
        <w:spacing w:before="0" w:beforeAutospacing="0" w:after="0" w:afterAutospacing="0" w:line="560" w:lineRule="exact"/>
        <w:ind w:left="638" w:leftChars="304" w:firstLine="0" w:firstLineChars="0"/>
        <w:jc w:val="both"/>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r>
        <w:rPr>
          <w:rFonts w:hint="eastAsia" w:eastAsia="仿宋_GB2312" w:cs="Calibri"/>
          <w:color w:val="000000"/>
          <w:sz w:val="32"/>
          <w:szCs w:val="32"/>
          <w:shd w:val="clear" w:color="auto" w:fill="FFFFFF"/>
          <w:lang w:val="en-US" w:eastAsia="zh-CN"/>
        </w:rPr>
        <w:t>深圳市深汕特别合作区智慧城市建设管理服务中心</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jc w:val="left"/>
        <w:outlineLvl w:val="0"/>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40"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渗透测试</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进行模拟入侵测试，评估目标系统的脆弱性，识别可能存在的安全风险。对合作区网站、应用系统、公众号、APP、小程序等进行渗透测试。</w:t>
            </w:r>
          </w:p>
          <w:p>
            <w:pPr>
              <w:widowControl/>
              <w:spacing w:line="3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漏洞扫描</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通过漏洞扫描和分析评估对服务器、终端、网站、网络设备等进行漏洞隐患排查，检查服务器、终端、网站、网络设备自身健壮性，验证可能遭受的安全威胁，并协助进行修复、处置，修复处置完成后进行复扫。</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73"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攻防演练</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针对漏洞扫描及渗透测试情况，根据系统实际运行环境，实施信息安全攻防演习。包括演练总体方案、真实环境攻防演练、攻击方负责模拟黑客攻击和入侵、防守方提前进行安全隐患自查和演练中防守应对措施、演练结束数据汇报、总结汇报、加固整改方案汇报等。</w:t>
            </w:r>
          </w:p>
          <w:p>
            <w:pPr>
              <w:widowControl/>
              <w:spacing w:line="3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应急演练</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应急演练工作包括：应急预案、演练脚本、参与人员、相关视频图片、总结报告及改进措施等。</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5</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信息安全培训</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落实深圳市联合检查工作要求以及提升合作区全员信息安全意识，通过信息安全培训，提高合作区安全水平和掌握安全知识，间接提高对安全事件生命周期的管理。安全培训，包括加强人员安全意识教育、关注网络安全发展趋势、了解新的防范措施等。</w:t>
            </w:r>
          </w:p>
          <w:p>
            <w:pPr>
              <w:tabs>
                <w:tab w:val="left" w:pos="9072"/>
              </w:tabs>
              <w:spacing w:line="560" w:lineRule="exact"/>
              <w:ind w:firstLine="560" w:firstLineChars="200"/>
              <w:rPr>
                <w:rFonts w:hint="eastAsia" w:ascii="仿宋_GB2312" w:hAnsi="仿宋_GB2312" w:eastAsia="仿宋_GB2312" w:cs="仿宋_GB2312"/>
                <w:bCs/>
                <w:sz w:val="28"/>
                <w:szCs w:val="28"/>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6</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安全制度建立</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ind w:firstLine="560" w:firstLineChars="200"/>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完成市网信办相关安全要求，做好网络和信息安全制度完善工作，根据现有的制度进行修订并输出相应文档。</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7</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安全开发咨询服务</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协助第三方开发公司检测代码合规性、漏洞、等相关安全漏洞隐患，并输出相应文档。</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6</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驻场</w:t>
            </w:r>
            <w:r>
              <w:rPr>
                <w:rFonts w:hint="eastAsia" w:ascii="仿宋_GB2312" w:hAnsi="仿宋_GB2312" w:eastAsia="仿宋_GB2312" w:cs="仿宋_GB2312"/>
                <w:bCs/>
                <w:sz w:val="28"/>
                <w:szCs w:val="28"/>
                <w:lang w:val="en-US" w:eastAsia="zh-CN"/>
              </w:rPr>
              <w:t>运维</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ind w:firstLine="560" w:firstLineChars="200"/>
              <w:textAlignment w:val="baseline"/>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安排驻场工程师5名，包括1名项目经理（安全体系规划顾问）、1名渗透测试工程师、2名安全运维工程师以及1名安全服务工程师，专职提供技术服务。服务内容除完成以上工作外，还需完成如下内容：。</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依据深汕特别合作区内部业务发展战略、IT发展战略、现有的信息安全建设情况对深汕特别合作区现有的信息安全体系提出整改建议，包括但不限于信息安全管理制度、信息安全管理规范与技术标准、信息安全管理流程、信息安全运维流程、安全基线与网络安全联合检查、绩效考核等方面提出相应的整改建议。</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根据深汕特别合作区网络安全的实际现状开展渗透测试和安全分析工作，结合态势感知、流量监控、防火墙、运维审计、日志审计、数据库审计等设备完成日志分析，定期对重要的信息系统安全性进行审计，发现存在的安全隐患。</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3.根据深汕特别合作区网络安全的实际现状开展安全运维工作，监控管理安全设备的运行、解决各类安全问题、制订巡检制度、操作规范、应急处理方法等，排除安全隐患、处理紧急事件和重大故障等工作</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4.根据网络安全联合检查或者其他专项安全检查要求，按需开展网络与信息安全检查，包括但不限于：</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检查是否存在违规存储、处理、传输涉密信息的情况；</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检查是否安装防病毒系统及病毒特征库是否及时更新；</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检查Windows操作系统补丁更新是否及时；</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检查终端是否存在未开启防火墙、弱口令、未使用锁屏功能、未删除不必要的用户、开启默认共享、开启远程桌面等安全隐患；</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检查政务办公网是否存在使用移动存储介质痕迹；</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开展网络安全风险评估工作，识别深汕特别合作区I</w:t>
            </w:r>
            <w:r>
              <w:rPr>
                <w:rFonts w:ascii="仿宋_GB2312" w:hAnsi="仿宋_GB2312" w:eastAsia="仿宋_GB2312" w:cs="仿宋_GB2312"/>
                <w:bCs/>
                <w:sz w:val="28"/>
                <w:szCs w:val="28"/>
              </w:rPr>
              <w:t>T</w:t>
            </w:r>
            <w:r>
              <w:rPr>
                <w:rFonts w:hint="eastAsia" w:ascii="仿宋_GB2312" w:hAnsi="仿宋_GB2312" w:eastAsia="仿宋_GB2312" w:cs="仿宋_GB2312"/>
                <w:bCs/>
                <w:sz w:val="28"/>
                <w:szCs w:val="28"/>
              </w:rPr>
              <w:t>资产得重要性、脆弱性及威胁，得出资产得风险值。根据风险值编制网络安全风险评估报告以及不可接受风险整改建议并协助整改；</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准备联合检查材料，材料必须准确、完整</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E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2022-03-23T07:50:41Z</dcterms:created>
  <dc:creator>GG</dc:creator>
  <cp:lastModifiedBy>陈雨</cp:lastModifiedBy>
  <dcterms:modified xsi:type="dcterms:W3CDTF">2022-03-23T07:50:45Z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