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00" w:lineRule="exact"/>
        <w:outlineLvl w:val="1"/>
        <w:rPr>
          <w:rStyle w:val="6"/>
          <w:rFonts w:hint="eastAsia" w:ascii="仿宋_GB2312" w:hAnsi="仿宋_GB2312" w:eastAsia="仿宋_GB2312" w:cs="仿宋_GB2312"/>
          <w:color w:val="000000"/>
          <w:kern w:val="0"/>
          <w:sz w:val="32"/>
          <w:szCs w:val="32"/>
          <w:shd w:val="clear" w:color="auto" w:fill="FFFFFF"/>
          <w:lang w:bidi="ar"/>
        </w:rPr>
      </w:pPr>
      <w:r>
        <w:rPr>
          <w:rStyle w:val="6"/>
          <w:rFonts w:hint="eastAsia" w:ascii="仿宋_GB2312" w:hAnsi="仿宋_GB2312" w:eastAsia="仿宋_GB2312" w:cs="仿宋_GB2312"/>
          <w:color w:val="000000"/>
          <w:kern w:val="0"/>
          <w:sz w:val="32"/>
          <w:szCs w:val="32"/>
          <w:shd w:val="clear" w:color="auto" w:fill="FFFFFF"/>
          <w:lang w:bidi="ar"/>
        </w:rPr>
        <w:t xml:space="preserve">附件： </w:t>
      </w:r>
    </w:p>
    <w:p>
      <w:pPr>
        <w:widowControl/>
        <w:shd w:val="clear" w:color="auto" w:fill="FFFFFF"/>
        <w:spacing w:line="500" w:lineRule="exact"/>
        <w:rPr>
          <w:rStyle w:val="6"/>
          <w:rFonts w:hint="eastAsia" w:ascii="仿宋_GB2312" w:hAnsi="仿宋_GB2312" w:eastAsia="仿宋_GB2312" w:cs="仿宋_GB2312"/>
          <w:color w:val="000000"/>
          <w:kern w:val="0"/>
          <w:sz w:val="32"/>
          <w:szCs w:val="32"/>
          <w:shd w:val="clear" w:color="auto" w:fill="FFFFFF"/>
          <w:lang w:bidi="ar"/>
        </w:rPr>
      </w:pPr>
    </w:p>
    <w:p>
      <w:pPr>
        <w:spacing w:line="600" w:lineRule="exact"/>
        <w:jc w:val="center"/>
        <w:outlineLvl w:val="0"/>
        <w:rPr>
          <w:rFonts w:ascii="方正小标宋简体" w:eastAsia="方正小标宋简体"/>
          <w:b w:val="0"/>
          <w:bCs w:val="0"/>
          <w:kern w:val="44"/>
          <w:sz w:val="44"/>
          <w:szCs w:val="44"/>
          <w:shd w:val="clear" w:color="auto" w:fill="FFFFFF"/>
        </w:rPr>
      </w:pPr>
      <w:r>
        <w:rPr>
          <w:rFonts w:hint="eastAsia" w:ascii="方正小标宋简体" w:eastAsia="方正小标宋简体"/>
          <w:b w:val="0"/>
          <w:bCs w:val="0"/>
          <w:kern w:val="44"/>
          <w:sz w:val="44"/>
          <w:szCs w:val="44"/>
          <w:shd w:val="clear" w:color="auto" w:fill="FFFFFF"/>
        </w:rPr>
        <w:t>202</w:t>
      </w:r>
      <w:r>
        <w:rPr>
          <w:rFonts w:hint="eastAsia" w:ascii="方正小标宋简体" w:eastAsia="方正小标宋简体"/>
          <w:b w:val="0"/>
          <w:bCs w:val="0"/>
          <w:kern w:val="44"/>
          <w:sz w:val="44"/>
          <w:szCs w:val="44"/>
          <w:shd w:val="clear" w:color="auto" w:fill="FFFFFF"/>
          <w:lang w:val="en-US" w:eastAsia="zh-CN"/>
        </w:rPr>
        <w:t>2</w:t>
      </w:r>
      <w:r>
        <w:rPr>
          <w:rFonts w:hint="eastAsia" w:ascii="方正小标宋简体" w:eastAsia="方正小标宋简体"/>
          <w:b w:val="0"/>
          <w:bCs w:val="0"/>
          <w:kern w:val="44"/>
          <w:sz w:val="44"/>
          <w:szCs w:val="44"/>
          <w:shd w:val="clear" w:color="auto" w:fill="FFFFFF"/>
        </w:rPr>
        <w:t>年度深汕特别合作区攻防演练与驻场运维服务项目报价单</w:t>
      </w:r>
    </w:p>
    <w:p>
      <w:pPr>
        <w:widowControl/>
        <w:shd w:val="clear" w:color="auto" w:fill="FFFFFF"/>
        <w:spacing w:line="500" w:lineRule="exact"/>
        <w:ind w:firstLine="640" w:firstLineChars="200"/>
        <w:jc w:val="left"/>
        <w:rPr>
          <w:rFonts w:hint="eastAsia" w:ascii="仿宋_GB2312" w:hAnsi="仿宋_GB2312" w:eastAsia="仿宋_GB2312" w:cs="仿宋_GB2312"/>
          <w:color w:val="000000"/>
          <w:sz w:val="32"/>
          <w:szCs w:val="32"/>
        </w:rPr>
      </w:pPr>
    </w:p>
    <w:p>
      <w:pPr>
        <w:widowControl/>
        <w:shd w:val="clear" w:color="auto" w:fill="FFFFFF"/>
        <w:spacing w:line="500" w:lineRule="exact"/>
        <w:jc w:val="left"/>
        <w:outlineLvl w:val="0"/>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一、报价内容</w:t>
      </w:r>
    </w:p>
    <w:p>
      <w:pPr>
        <w:widowControl/>
        <w:shd w:val="clear" w:color="auto" w:fill="FFFFFF"/>
        <w:spacing w:line="500" w:lineRule="exact"/>
        <w:ind w:left="638" w:leftChars="304" w:firstLine="0" w:firstLineChars="0"/>
        <w:jc w:val="left"/>
        <w:rPr>
          <w:rFonts w:hint="default"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bidi="ar"/>
        </w:rPr>
        <w:t>项目名称：</w:t>
      </w:r>
      <w:r>
        <w:rPr>
          <w:rFonts w:hint="eastAsia" w:ascii="仿宋_GB2312" w:hAnsi="仿宋_GB2312" w:eastAsia="仿宋_GB2312" w:cs="仿宋_GB2312"/>
          <w:color w:val="000000"/>
          <w:kern w:val="0"/>
          <w:sz w:val="32"/>
          <w:szCs w:val="32"/>
          <w:shd w:val="clear" w:color="auto" w:fill="FFFFFF"/>
          <w:lang w:val="en-US" w:eastAsia="zh-CN" w:bidi="ar"/>
        </w:rPr>
        <w:t>2022年度深汕特别合作区攻防演练与驻场运维服务项目</w:t>
      </w:r>
    </w:p>
    <w:p>
      <w:pPr>
        <w:pStyle w:val="3"/>
        <w:widowControl/>
        <w:shd w:val="clear" w:color="auto" w:fill="FFFFFF"/>
        <w:spacing w:before="0" w:beforeAutospacing="0" w:after="0" w:afterAutospacing="0" w:line="560" w:lineRule="exact"/>
        <w:ind w:left="638" w:leftChars="304" w:firstLine="0" w:firstLineChars="0"/>
        <w:jc w:val="both"/>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采购单位：</w:t>
      </w:r>
      <w:r>
        <w:rPr>
          <w:rFonts w:hint="eastAsia" w:eastAsia="仿宋_GB2312" w:cs="Calibri"/>
          <w:color w:val="000000"/>
          <w:sz w:val="32"/>
          <w:szCs w:val="32"/>
          <w:shd w:val="clear" w:color="auto" w:fill="FFFFFF"/>
          <w:lang w:val="en-US" w:eastAsia="zh-CN"/>
        </w:rPr>
        <w:t>深圳市深汕特别合作区智慧城市建设管理服务中心</w:t>
      </w:r>
    </w:p>
    <w:p>
      <w:pPr>
        <w:widowControl/>
        <w:shd w:val="clear" w:color="auto" w:fill="FFFFFF"/>
        <w:spacing w:line="50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报价单位：XXX</w:t>
      </w:r>
    </w:p>
    <w:p>
      <w:pPr>
        <w:widowControl/>
        <w:shd w:val="clear" w:color="auto" w:fill="FFFFFF"/>
        <w:spacing w:line="50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报价（总价）：</w:t>
      </w:r>
    </w:p>
    <w:p>
      <w:pPr>
        <w:widowControl/>
        <w:shd w:val="clear" w:color="auto" w:fill="FFFFFF"/>
        <w:spacing w:line="50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联系人：</w:t>
      </w:r>
    </w:p>
    <w:p>
      <w:pPr>
        <w:widowControl/>
        <w:shd w:val="clear" w:color="auto" w:fill="FFFFFF"/>
        <w:spacing w:line="50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电话：</w:t>
      </w:r>
    </w:p>
    <w:p>
      <w:pPr>
        <w:widowControl/>
        <w:shd w:val="clear" w:color="auto" w:fill="FFFFFF"/>
        <w:spacing w:line="50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地址：</w:t>
      </w:r>
    </w:p>
    <w:p>
      <w:pPr>
        <w:widowControl/>
        <w:shd w:val="clear" w:color="auto" w:fill="FFFFFF"/>
        <w:spacing w:line="500" w:lineRule="exact"/>
        <w:jc w:val="left"/>
        <w:outlineLvl w:val="0"/>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二、报价明细（此报价表内只需填写一年的项目服务费）</w:t>
      </w:r>
    </w:p>
    <w:tbl>
      <w:tblPr>
        <w:tblStyle w:val="4"/>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68"/>
        <w:gridCol w:w="1517"/>
        <w:gridCol w:w="3628"/>
        <w:gridCol w:w="209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00" w:lineRule="exact"/>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序号</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00" w:lineRule="exact"/>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服务项目</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00" w:lineRule="exact"/>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服务内容</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00" w:lineRule="exact"/>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费用（元）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940" w:hRule="atLeast"/>
        </w:trPr>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rPr>
                <w:rFonts w:hint="eastAsia" w:ascii="仿宋_GB2312" w:hAnsi="仿宋_GB2312" w:eastAsia="仿宋_GB2312" w:cs="仿宋_GB2312"/>
                <w:color w:val="000000"/>
                <w:szCs w:val="21"/>
              </w:rPr>
            </w:pPr>
            <w:r>
              <w:rPr>
                <w:rFonts w:hint="eastAsia" w:ascii="仿宋_GB2312" w:hAnsi="仿宋_GB2312" w:eastAsia="仿宋_GB2312" w:cs="仿宋_GB2312"/>
                <w:bCs/>
                <w:sz w:val="28"/>
                <w:szCs w:val="28"/>
              </w:rPr>
              <w:t>渗透测试</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tabs>
                <w:tab w:val="left" w:pos="9072"/>
              </w:tabs>
              <w:spacing w:line="560" w:lineRule="exact"/>
              <w:ind w:firstLine="560" w:firstLineChars="200"/>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rPr>
              <w:t>进行模拟入侵测试，评估目标系统的脆弱性，识别可能存在的安全风险。对合作区网站、应用系统、公众号、APP、小程序等进行渗透测试。</w:t>
            </w:r>
            <w:r>
              <w:rPr>
                <w:rFonts w:hint="eastAsia" w:ascii="仿宋_GB2312" w:hAnsi="仿宋_GB2312" w:eastAsia="仿宋_GB2312" w:cs="仿宋_GB2312"/>
                <w:bCs/>
                <w:sz w:val="28"/>
                <w:szCs w:val="28"/>
                <w:lang w:val="en-US" w:eastAsia="zh-CN"/>
              </w:rPr>
              <w:t>服务期内开展4次以上。</w:t>
            </w:r>
          </w:p>
          <w:p>
            <w:pPr>
              <w:widowControl/>
              <w:spacing w:line="360" w:lineRule="exact"/>
              <w:jc w:val="center"/>
              <w:rPr>
                <w:rFonts w:hint="eastAsia" w:ascii="仿宋_GB2312" w:hAnsi="仿宋_GB2312" w:eastAsia="仿宋_GB2312" w:cs="仿宋_GB2312"/>
                <w:color w:val="000000"/>
                <w:szCs w:val="21"/>
              </w:rPr>
            </w:pP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bCs/>
                <w:sz w:val="28"/>
                <w:szCs w:val="28"/>
              </w:rPr>
              <w:t>漏洞扫描</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rPr>
                <w:rFonts w:hint="eastAsia" w:ascii="仿宋_GB2312" w:hAnsi="仿宋_GB2312" w:eastAsia="仿宋_GB2312" w:cs="仿宋_GB2312"/>
                <w:color w:val="000000"/>
                <w:szCs w:val="21"/>
              </w:rPr>
            </w:pPr>
            <w:r>
              <w:rPr>
                <w:rFonts w:hint="eastAsia" w:ascii="仿宋_GB2312" w:hAnsi="仿宋_GB2312" w:eastAsia="仿宋_GB2312" w:cs="仿宋_GB2312"/>
                <w:bCs/>
                <w:sz w:val="28"/>
                <w:szCs w:val="28"/>
              </w:rPr>
              <w:t>通过漏洞扫描和分析评估对服务器、终端、网站、网络设备等进行漏洞隐患排查，检查服务器、终端、网站、网络设备自身健壮性，验证可能遭受的安全威胁，并协助进行修复、处置，修复处置完成后进行复扫。</w:t>
            </w:r>
            <w:r>
              <w:rPr>
                <w:rFonts w:hint="eastAsia" w:ascii="仿宋_GB2312" w:hAnsi="仿宋_GB2312" w:eastAsia="仿宋_GB2312" w:cs="仿宋_GB2312"/>
                <w:bCs/>
                <w:sz w:val="28"/>
                <w:szCs w:val="28"/>
                <w:lang w:val="en-US" w:eastAsia="zh-CN"/>
              </w:rPr>
              <w:t>服务期内开展4次以上。</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3" w:hRule="atLeast"/>
        </w:trPr>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rPr>
                <w:rFonts w:hint="eastAsia" w:ascii="仿宋_GB2312" w:hAnsi="仿宋_GB2312" w:eastAsia="仿宋_GB2312" w:cs="仿宋_GB2312"/>
                <w:color w:val="000000"/>
                <w:szCs w:val="21"/>
              </w:rPr>
            </w:pPr>
            <w:r>
              <w:rPr>
                <w:rFonts w:hint="eastAsia" w:ascii="仿宋_GB2312" w:hAnsi="仿宋_GB2312" w:eastAsia="仿宋_GB2312" w:cs="仿宋_GB2312"/>
                <w:bCs/>
                <w:sz w:val="28"/>
                <w:szCs w:val="28"/>
              </w:rPr>
              <w:t>攻防演练</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tabs>
                <w:tab w:val="left" w:pos="9072"/>
              </w:tabs>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针对漏洞扫描及渗透测试情况，根据系统实际运行环境，实施信息安全攻防演习。包括演练总体方案、真实环境攻防演练、攻击方负责模拟黑客攻击和入侵、防守方提前进行安全隐患自查和演练中防守应对措施、演练结束数据汇报、总结汇报、加固整改方案汇报等。</w:t>
            </w:r>
            <w:r>
              <w:rPr>
                <w:rFonts w:hint="eastAsia" w:ascii="仿宋_GB2312" w:hAnsi="仿宋_GB2312" w:eastAsia="仿宋_GB2312" w:cs="仿宋_GB2312"/>
                <w:bCs/>
                <w:sz w:val="28"/>
                <w:szCs w:val="28"/>
                <w:lang w:val="en-US" w:eastAsia="zh-CN"/>
              </w:rPr>
              <w:t>服务期内开展1次以上。</w:t>
            </w:r>
          </w:p>
          <w:p>
            <w:pPr>
              <w:widowControl/>
              <w:spacing w:line="360" w:lineRule="exact"/>
              <w:rPr>
                <w:rFonts w:hint="eastAsia" w:ascii="仿宋_GB2312" w:hAnsi="仿宋_GB2312" w:eastAsia="仿宋_GB2312" w:cs="仿宋_GB2312"/>
                <w:color w:val="000000"/>
                <w:szCs w:val="21"/>
              </w:rPr>
            </w:pP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ind w:firstLine="420" w:firstLineChars="200"/>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4</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应急演练</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tabs>
                <w:tab w:val="left" w:pos="9072"/>
              </w:tabs>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应急演练工作包括：应急预案、演练脚本、参与人员、相关视频图片、总结报告及改进措施等。</w:t>
            </w:r>
            <w:r>
              <w:rPr>
                <w:rFonts w:hint="eastAsia" w:ascii="仿宋_GB2312" w:hAnsi="仿宋_GB2312" w:eastAsia="仿宋_GB2312" w:cs="仿宋_GB2312"/>
                <w:bCs/>
                <w:sz w:val="28"/>
                <w:szCs w:val="28"/>
                <w:lang w:val="en-US" w:eastAsia="zh-CN"/>
              </w:rPr>
              <w:t>服务期内开展1次以上。</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jc w:val="center"/>
              <w:rPr>
                <w:rFonts w:hint="eastAsia"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val="en-US" w:eastAsia="zh-CN"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ind w:firstLine="420" w:firstLineChars="200"/>
              <w:rPr>
                <w:rFonts w:hint="eastAsia" w:ascii="仿宋_GB2312" w:hAnsi="仿宋_GB2312" w:eastAsia="仿宋_GB2312" w:cs="仿宋_GB2312"/>
                <w:color w:val="000000"/>
                <w:kern w:val="0"/>
                <w:szCs w:val="21"/>
                <w:lang w:eastAsia="zh-CN" w:bidi="ar"/>
              </w:rPr>
            </w:pPr>
            <w:r>
              <w:rPr>
                <w:rFonts w:hint="eastAsia" w:ascii="仿宋_GB2312" w:hAnsi="仿宋_GB2312" w:eastAsia="仿宋_GB2312" w:cs="仿宋_GB2312"/>
                <w:color w:val="000000"/>
                <w:kern w:val="0"/>
                <w:szCs w:val="21"/>
                <w:lang w:val="en-US" w:eastAsia="zh-CN" w:bidi="ar"/>
              </w:rPr>
              <w:t>5</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信息安全培训</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tabs>
                <w:tab w:val="left" w:pos="9072"/>
              </w:tabs>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为落实深圳市联合检查工作要求以及提升合作区全员信息安全意识，通过信息安全培训，提高合作区安全水平和掌握安全知识，间接提高对安全事件生命周期的管理。安全培训，包括加强人员安全意识教育、关注网络安全发展趋势、了解新的防范措施等。</w:t>
            </w:r>
            <w:r>
              <w:rPr>
                <w:rFonts w:hint="eastAsia" w:ascii="仿宋_GB2312" w:hAnsi="仿宋_GB2312" w:eastAsia="仿宋_GB2312" w:cs="仿宋_GB2312"/>
                <w:bCs/>
                <w:sz w:val="28"/>
                <w:szCs w:val="28"/>
                <w:lang w:val="en-US" w:eastAsia="zh-CN"/>
              </w:rPr>
              <w:t>服务期内开展1次以上，培训时长不低于2小时。</w:t>
            </w:r>
          </w:p>
          <w:p>
            <w:pPr>
              <w:tabs>
                <w:tab w:val="left" w:pos="9072"/>
              </w:tabs>
              <w:spacing w:line="560" w:lineRule="exact"/>
              <w:ind w:firstLine="560" w:firstLineChars="200"/>
              <w:rPr>
                <w:rFonts w:hint="eastAsia" w:ascii="仿宋_GB2312" w:hAnsi="仿宋_GB2312" w:eastAsia="仿宋_GB2312" w:cs="仿宋_GB2312"/>
                <w:bCs/>
                <w:sz w:val="28"/>
                <w:szCs w:val="28"/>
              </w:rPr>
            </w:pP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jc w:val="center"/>
              <w:rPr>
                <w:rFonts w:hint="eastAsia"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val="en-US" w:eastAsia="zh-CN"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ind w:firstLine="420" w:firstLineChars="200"/>
              <w:rPr>
                <w:rFonts w:hint="default"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val="en-US" w:eastAsia="zh-CN" w:bidi="ar"/>
              </w:rPr>
              <w:t>6</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pacing w:line="560" w:lineRule="exact"/>
              <w:textAlignment w:val="baseline"/>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安全制度建立</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pacing w:line="560" w:lineRule="exact"/>
              <w:ind w:firstLine="560" w:firstLineChars="200"/>
              <w:textAlignment w:val="baseline"/>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完成市网信办相关安全要求，做好网络和信息安全制度完善工作，根据现有的制度进行修订并输出相应文档。</w:t>
            </w:r>
            <w:r>
              <w:rPr>
                <w:rFonts w:hint="eastAsia" w:ascii="仿宋_GB2312" w:hAnsi="仿宋_GB2312" w:eastAsia="仿宋_GB2312" w:cs="仿宋_GB2312"/>
                <w:bCs/>
                <w:sz w:val="28"/>
                <w:szCs w:val="28"/>
                <w:lang w:val="en-US" w:eastAsia="zh-CN"/>
              </w:rPr>
              <w:t>服务期内开展1次以上。</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jc w:val="center"/>
              <w:rPr>
                <w:rFonts w:hint="default"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val="en-US" w:eastAsia="zh-CN"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ind w:firstLine="420" w:firstLineChars="200"/>
              <w:rPr>
                <w:rFonts w:hint="default"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val="en-US" w:eastAsia="zh-CN" w:bidi="ar"/>
              </w:rPr>
              <w:t>7</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安全开发咨询服务</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tabs>
                <w:tab w:val="left" w:pos="9072"/>
              </w:tabs>
              <w:spacing w:line="560" w:lineRule="exact"/>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协助第三方开发公司检测代码合规性、漏洞、等相关安全漏洞隐患，并输出相应文档。服务期内开展1次以上。</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jc w:val="center"/>
              <w:rPr>
                <w:rFonts w:hint="default"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val="en-US" w:eastAsia="zh-CN"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ind w:firstLine="420" w:firstLineChars="200"/>
              <w:rPr>
                <w:rFonts w:hint="default"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val="en-US" w:eastAsia="zh-CN" w:bidi="ar"/>
              </w:rPr>
              <w:t>8</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rPr>
              <w:t>密码安全测评</w:t>
            </w:r>
            <w:r>
              <w:rPr>
                <w:rFonts w:hint="eastAsia" w:ascii="仿宋_GB2312" w:hAnsi="仿宋_GB2312" w:eastAsia="仿宋_GB2312" w:cs="仿宋_GB2312"/>
                <w:bCs/>
                <w:sz w:val="28"/>
                <w:szCs w:val="28"/>
                <w:lang w:val="en-US" w:eastAsia="zh-CN"/>
              </w:rPr>
              <w:t>服务</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tabs>
                <w:tab w:val="left" w:pos="9072"/>
              </w:tabs>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对深汕特别合作区的等级保护系统提供密码安全测评咨询服务工作。</w:t>
            </w:r>
            <w:r>
              <w:rPr>
                <w:rFonts w:hint="eastAsia" w:ascii="仿宋_GB2312" w:hAnsi="仿宋_GB2312" w:eastAsia="仿宋_GB2312" w:cs="仿宋_GB2312"/>
                <w:bCs/>
                <w:sz w:val="28"/>
                <w:szCs w:val="28"/>
                <w:lang w:val="en-US" w:eastAsia="zh-CN"/>
              </w:rPr>
              <w:t>服务</w:t>
            </w:r>
            <w:r>
              <w:rPr>
                <w:rFonts w:hint="eastAsia" w:ascii="仿宋_GB2312" w:hAnsi="仿宋_GB2312" w:eastAsia="仿宋_GB2312" w:cs="仿宋_GB2312"/>
                <w:bCs/>
                <w:sz w:val="28"/>
                <w:szCs w:val="28"/>
              </w:rPr>
              <w:t>期内开展1次以上。</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jc w:val="center"/>
              <w:rPr>
                <w:rFonts w:hint="default"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val="en-US" w:eastAsia="zh-CN"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ind w:firstLine="420" w:firstLineChars="200"/>
              <w:rPr>
                <w:rFonts w:hint="default"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color w:val="000000"/>
                <w:kern w:val="0"/>
                <w:szCs w:val="21"/>
                <w:lang w:val="en-US" w:eastAsia="zh-CN" w:bidi="ar"/>
              </w:rPr>
              <w:t>9</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rPr>
              <w:t>驻场</w:t>
            </w:r>
            <w:r>
              <w:rPr>
                <w:rFonts w:hint="eastAsia" w:ascii="仿宋_GB2312" w:hAnsi="仿宋_GB2312" w:eastAsia="仿宋_GB2312" w:cs="仿宋_GB2312"/>
                <w:bCs/>
                <w:sz w:val="28"/>
                <w:szCs w:val="28"/>
                <w:lang w:val="en-US" w:eastAsia="zh-CN"/>
              </w:rPr>
              <w:t>运维</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adjustRightInd w:val="0"/>
              <w:spacing w:line="560" w:lineRule="exact"/>
              <w:ind w:firstLine="560" w:firstLineChars="200"/>
              <w:textAlignment w:val="baseline"/>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安排驻场工程师</w:t>
            </w:r>
            <w:r>
              <w:rPr>
                <w:rFonts w:hint="eastAsia" w:ascii="仿宋_GB2312" w:hAnsi="仿宋_GB2312" w:eastAsia="仿宋_GB2312" w:cs="仿宋_GB2312"/>
                <w:bCs/>
                <w:sz w:val="28"/>
                <w:szCs w:val="28"/>
                <w:lang w:val="en-US" w:eastAsia="zh-CN"/>
              </w:rPr>
              <w:t>8</w:t>
            </w:r>
            <w:r>
              <w:rPr>
                <w:rFonts w:hint="eastAsia" w:ascii="仿宋_GB2312" w:hAnsi="仿宋_GB2312" w:eastAsia="仿宋_GB2312" w:cs="仿宋_GB2312"/>
                <w:bCs/>
                <w:sz w:val="28"/>
                <w:szCs w:val="28"/>
              </w:rPr>
              <w:t>名</w:t>
            </w:r>
            <w:r>
              <w:rPr>
                <w:rFonts w:hint="eastAsia" w:ascii="仿宋_GB2312" w:hAnsi="仿宋_GB2312" w:eastAsia="仿宋_GB2312" w:cs="仿宋_GB2312"/>
                <w:bCs/>
                <w:sz w:val="28"/>
                <w:szCs w:val="28"/>
                <w:lang w:val="en-US" w:eastAsia="zh-CN"/>
              </w:rPr>
              <w:t>以上</w:t>
            </w:r>
            <w:r>
              <w:rPr>
                <w:rFonts w:hint="eastAsia" w:ascii="仿宋_GB2312" w:hAnsi="仿宋_GB2312" w:eastAsia="仿宋_GB2312" w:cs="仿宋_GB2312"/>
                <w:bCs/>
                <w:sz w:val="28"/>
                <w:szCs w:val="28"/>
              </w:rPr>
              <w:t>，包括1名项目经理（安全体系规划顾问）、1名渗透测试工程师、</w:t>
            </w:r>
            <w:r>
              <w:rPr>
                <w:rFonts w:hint="eastAsia" w:ascii="仿宋_GB2312" w:hAnsi="仿宋_GB2312" w:eastAsia="仿宋_GB2312" w:cs="仿宋_GB2312"/>
                <w:bCs/>
                <w:sz w:val="28"/>
                <w:szCs w:val="28"/>
                <w:lang w:val="en-US" w:eastAsia="zh-CN"/>
              </w:rPr>
              <w:t>4</w:t>
            </w:r>
            <w:r>
              <w:rPr>
                <w:rFonts w:hint="eastAsia" w:ascii="仿宋_GB2312" w:hAnsi="仿宋_GB2312" w:eastAsia="仿宋_GB2312" w:cs="仿宋_GB2312"/>
                <w:bCs/>
                <w:sz w:val="28"/>
                <w:szCs w:val="28"/>
              </w:rPr>
              <w:t>名安全运维工程师以及</w:t>
            </w:r>
            <w:r>
              <w:rPr>
                <w:rFonts w:hint="eastAsia" w:ascii="仿宋_GB2312" w:hAnsi="仿宋_GB2312" w:eastAsia="仿宋_GB2312" w:cs="仿宋_GB2312"/>
                <w:bCs/>
                <w:sz w:val="28"/>
                <w:szCs w:val="28"/>
                <w:lang w:val="en-US" w:eastAsia="zh-CN"/>
              </w:rPr>
              <w:t>2</w:t>
            </w:r>
            <w:r>
              <w:rPr>
                <w:rFonts w:hint="eastAsia" w:ascii="仿宋_GB2312" w:hAnsi="仿宋_GB2312" w:eastAsia="仿宋_GB2312" w:cs="仿宋_GB2312"/>
                <w:bCs/>
                <w:sz w:val="28"/>
                <w:szCs w:val="28"/>
              </w:rPr>
              <w:t>名安全服务工程师，专职提供技术服务。</w:t>
            </w:r>
            <w:r>
              <w:rPr>
                <w:rFonts w:hint="eastAsia" w:ascii="仿宋_GB2312" w:hAnsi="仿宋_GB2312" w:eastAsia="仿宋_GB2312" w:cs="仿宋_GB2312"/>
                <w:bCs/>
                <w:sz w:val="28"/>
                <w:szCs w:val="28"/>
                <w:lang w:val="en-US" w:eastAsia="zh-CN"/>
              </w:rPr>
              <w:t>人员符合要求（学历专科以上、计算机专业相关、具备文字表达能力、其他要求）</w:t>
            </w:r>
            <w:r>
              <w:rPr>
                <w:rFonts w:hint="eastAsia" w:ascii="仿宋_GB2312" w:hAnsi="仿宋_GB2312" w:eastAsia="仿宋_GB2312" w:cs="仿宋_GB2312"/>
                <w:bCs/>
                <w:sz w:val="28"/>
                <w:szCs w:val="28"/>
              </w:rPr>
              <w:t>服务内容除完成以上工作外，还需完成如下内容：。</w:t>
            </w:r>
          </w:p>
          <w:p>
            <w:pPr>
              <w:tabs>
                <w:tab w:val="left" w:pos="9072"/>
              </w:tabs>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依据深汕特别合作区内部业务发展战略、IT发展战略、现有的信息安全建设情况对深汕特别合作区现有的信息安全体系提出整改建议，包括但不限于信息安全管理制度、信息安全管理规范与技术标准、信息安全管理流程、信息安全运维流程、安全基线与网络安全联合检查、绩效考核等方面提出相应的整改建议。</w:t>
            </w:r>
          </w:p>
          <w:p>
            <w:pPr>
              <w:tabs>
                <w:tab w:val="left" w:pos="9072"/>
              </w:tabs>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根据深汕特别合作区网络安全的实际现状开展渗透测试和安全分析工作，结合态势感知、流量监控、防火墙、运维审计、日志审计、数据库审计等设备完成日志分析，定期对重要的信息系统安全性进行审计，发现存在的安全隐患。</w:t>
            </w:r>
          </w:p>
          <w:p>
            <w:pPr>
              <w:tabs>
                <w:tab w:val="left" w:pos="9072"/>
              </w:tabs>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3.根据深汕特别合作区网络安全的实际现状开展安全运维工作，监控管理安全设备的运行、解决各类安全问题、制订巡检制度、操作规范、应急处理方法等，排除安全隐患、处理紧急事件和重大故障等工作</w:t>
            </w:r>
          </w:p>
          <w:p>
            <w:pPr>
              <w:tabs>
                <w:tab w:val="left" w:pos="9072"/>
              </w:tabs>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4.根据网络安全联合检查或者其他专项安全检查要求，按需开展网络与信息安全检查，包括但不限于：</w:t>
            </w:r>
          </w:p>
          <w:p>
            <w:pPr>
              <w:tabs>
                <w:tab w:val="left" w:pos="9072"/>
              </w:tabs>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检查是否存在违规存储、处理、传输涉密信息的情况；</w:t>
            </w:r>
          </w:p>
          <w:p>
            <w:pPr>
              <w:tabs>
                <w:tab w:val="left" w:pos="9072"/>
              </w:tabs>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检查是否安装防病毒系统及病毒特征库是否及时更新；</w:t>
            </w:r>
          </w:p>
          <w:p>
            <w:pPr>
              <w:tabs>
                <w:tab w:val="left" w:pos="9072"/>
              </w:tabs>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检查Windows操作系统补丁更新是否及时；</w:t>
            </w:r>
          </w:p>
          <w:p>
            <w:pPr>
              <w:tabs>
                <w:tab w:val="left" w:pos="9072"/>
              </w:tabs>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检查终端是否存在未开启防火墙、弱口令、未使用锁屏功能、未删除不必要的用户、开启默认共享、开启远程桌面等安全隐患；</w:t>
            </w:r>
          </w:p>
          <w:p>
            <w:pPr>
              <w:tabs>
                <w:tab w:val="left" w:pos="9072"/>
              </w:tabs>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检查政务办公网是否存在使用移动存储介质痕迹；</w:t>
            </w:r>
          </w:p>
          <w:p>
            <w:pPr>
              <w:tabs>
                <w:tab w:val="left" w:pos="9072"/>
              </w:tabs>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开展网络安全风险评估工作，识别深汕特别合作区I</w:t>
            </w:r>
            <w:r>
              <w:rPr>
                <w:rFonts w:ascii="仿宋_GB2312" w:hAnsi="仿宋_GB2312" w:eastAsia="仿宋_GB2312" w:cs="仿宋_GB2312"/>
                <w:bCs/>
                <w:sz w:val="28"/>
                <w:szCs w:val="28"/>
              </w:rPr>
              <w:t>T</w:t>
            </w:r>
            <w:r>
              <w:rPr>
                <w:rFonts w:hint="eastAsia" w:ascii="仿宋_GB2312" w:hAnsi="仿宋_GB2312" w:eastAsia="仿宋_GB2312" w:cs="仿宋_GB2312"/>
                <w:bCs/>
                <w:sz w:val="28"/>
                <w:szCs w:val="28"/>
              </w:rPr>
              <w:t>资产得重要性、脆弱性及威胁，得出资产得风险值。根据风险值编制网络安全风险评估报告以及不可接受风险整改建议并协助整改；</w:t>
            </w:r>
          </w:p>
          <w:p>
            <w:pPr>
              <w:tabs>
                <w:tab w:val="left" w:pos="9072"/>
              </w:tabs>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准备联合检查材料，材料必须准确、完整</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360" w:lineRule="exact"/>
              <w:jc w:val="center"/>
              <w:rPr>
                <w:rFonts w:hint="eastAsia" w:ascii="仿宋_GB2312" w:hAnsi="仿宋_GB2312" w:eastAsia="仿宋_GB2312" w:cs="仿宋_GB2312"/>
                <w:color w:val="000000"/>
                <w:kern w:val="0"/>
                <w:szCs w:val="21"/>
                <w:lang w:val="en-US" w:eastAsia="zh-CN" w:bidi="ar"/>
              </w:rPr>
            </w:pPr>
            <w:bookmarkStart w:id="0" w:name="_GoBack"/>
            <w:bookmarkEnd w:id="0"/>
            <w:r>
              <w:rPr>
                <w:rFonts w:hint="eastAsia" w:ascii="仿宋_GB2312" w:hAnsi="仿宋_GB2312" w:eastAsia="仿宋_GB2312" w:cs="仿宋_GB2312"/>
                <w:color w:val="000000"/>
                <w:kern w:val="0"/>
                <w:szCs w:val="21"/>
                <w:lang w:val="en-US" w:eastAsia="zh-CN"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21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40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b/>
                <w:bCs/>
                <w:color w:val="000000"/>
                <w:kern w:val="0"/>
                <w:szCs w:val="21"/>
                <w:lang w:bidi="ar"/>
              </w:rPr>
              <w:t>合计</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40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含税X（大写：X X X）</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BE56D0"/>
    <w:rsid w:val="33C76FC4"/>
    <w:rsid w:val="69980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character" w:styleId="6">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2022-03-23T07:50:00Z</dcterms:created>
  <dc:creator>GG</dc:creator>
  <cp:lastModifiedBy>陈雨</cp:lastModifiedBy>
  <dcterms:modified xsi:type="dcterms:W3CDTF">2022-04-22T09:13:42Z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50D1C28A7EEB4310B362007C9D8EFD2D</vt:lpwstr>
  </property>
</Properties>
</file>