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附件1：</w:t>
      </w:r>
    </w:p>
    <w:p>
      <w:pPr>
        <w:jc w:val="center"/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ar"/>
        </w:rPr>
        <w:t>深圳市深汕特别合作区河道防洪达标工程、河道综合治理及生态修复工程汇总表</w:t>
      </w:r>
    </w:p>
    <w:bookmarkEnd w:id="0"/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10"/>
        <w:gridCol w:w="737"/>
        <w:gridCol w:w="2203"/>
        <w:gridCol w:w="1750"/>
        <w:gridCol w:w="3080"/>
        <w:gridCol w:w="280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地理位置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项目类型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工程名称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建设内容、规模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工作阶段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河道防洪达标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杨桃溪河道整治工程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治理长度6.31km包含计划河道改道段1.09km）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围王爷溪河道整治工程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治理长度3.2km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大湾溪河道整治工程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治理长度5.86km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龙眼溪河道整治工程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治理长度2.1km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路径坑河道综合整治工程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治理长度0.94km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长岭坑河道综合整治工程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治理长度3.71km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与片区建设同步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沙浦达坑河道整治工程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治理长度3.43km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深汕智造城规划范围内。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斑鱼湖坑河道整治工程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治理长度2.49km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九度水河道整治工程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治理长度9.16km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桥陂坑河道综合整治工程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治理长度1.35km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排角河河道综合整治工程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治理长度1.72km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与规划建设项目同步设计、实施。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港尾河河道综合整治工程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治理长度2.96km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与规划建设项目同步设计、实施。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河道综合治理及生态修复工程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赤石河干流综合治理及生态修复工程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结合碧道（10.0km），对大蕉园河口-河口河道进行整治，治理长度17.6km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结合碧道（10.0km），对大蕉园河口-河口河道进行整治，治理长度17.6km。包括赤石河滞洪区建设，水域面积1.35km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，总库容202万m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；望鹏山湿地公园，位于赤石河中游牛轭湖处，滞蓄容积81万m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，占地面积45万m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赤石河入海口河道整治工程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1.55km，12.77万m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小漠镇赤石河滨河景观公园概念设计。场地串联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华侨城纯水岸花园、小漠文化艺术中心、香山文化公园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与规划建设项目同步设计、实施。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南门河综合治理及生态修复工程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结合碧道（4.0km），对边溪河口-南门河口进行整治，治理长度5.2km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明热河综合治理及生态修复工程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结合碧道（10.5km），对明溪水汇合口-河口进行整治，治理长度3.1km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吉水门溪生态修复工程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结合碧道，对全河道进行整治，整治长度5.1km，完善安全、生态及休闲系统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5.1km，完善安全、生态及休闲系统，包括吉水湿地，位于吉水门汇入赤石河处右岸，滞蓄容积31万m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，占地面积21万m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边溪河生态修复工程试点工程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1km，完善安全、生态及休闲系统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河道整治结合碧道建设，试点碧道建设总长约1km，其中深汕大道至鹅埠路长约400，由政府投资建设，鹅埠路至发展大道长约600m，由书香雅苑开发商深汕城投公司投资建设。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边溪河生态修复工程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3.9km，完善安全、生态及休闲系统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鹅仔下河生态修复工程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0.6km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大澳河河道综合治理及生态修复工程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1.855km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小漠片区水系综合治理工程，包括防洪（潮）排涝、水质改善、生态景观提升等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新圩河河道综合治理及生态修复工程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2.12km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小漠河河道综合治理及生态修复工程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2.8km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埔仔塘河道综合治理及生态修复工程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1.9km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南君寮河道综合治理及生态修复工程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新田坑河道综合治理及生态修复工程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石壁坑河道综合治理及生态修复工程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鲘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门河河道综合治理及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鲘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门片区水系综合治理工程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石笼头河道综合治理及生态修复工程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2.07km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与规划建设地块同步设计、实施。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0" w:firstLineChars="0"/>
        <w:textAlignment w:val="auto"/>
        <w:rPr>
          <w:rStyle w:val="7"/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textAlignment w:val="auto"/>
        <w:rPr>
          <w:rStyle w:val="7"/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FFFFFF"/>
          <w:lang w:eastAsia="zh-CN" w:bidi="ar"/>
        </w:rPr>
        <w:sectPr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803" w:right="1440" w:bottom="1803" w:left="1440" w:header="850" w:footer="1587" w:gutter="0"/>
          <w:pgNumType w:fmt="numberInDash" w:start="1"/>
          <w:cols w:space="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</w:pPr>
    <w:r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A2E6B11"/>
    <w:rsid w:val="0A2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font51"/>
    <w:basedOn w:val="6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2022-05-11T08:54:00Z</dcterms:created>
  <dc:creator>家婉</dc:creator>
  <cp:lastModifiedBy>家婉</cp:lastModifiedBy>
  <dcterms:modified xsi:type="dcterms:W3CDTF">2022-05-11T08:54:15Z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098B0DB4DBD8471784A6AAF1FF3C1F47</vt:lpwstr>
  </property>
</Properties>
</file>