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6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  <w:t>深圳市深汕特别合作区圳美绿道延长段建设项目建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议书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  <w:t>编制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服务报价单</w:t>
      </w:r>
    </w:p>
    <w:bookmarkEnd w:id="0"/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spacing w:line="560" w:lineRule="exact"/>
        <w:ind w:left="2230" w:leftChars="300" w:hanging="1600" w:hangingChars="5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深圳市深汕特别合作区圳美绿道延长段建设项目建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议书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编制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服务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采购单位：深圳市深汕特别合作区城市管理和综合执法</w:t>
      </w:r>
    </w:p>
    <w:p>
      <w:pPr>
        <w:widowControl/>
        <w:shd w:val="clear" w:color="auto" w:fill="FFFFFF"/>
        <w:spacing w:line="560" w:lineRule="exact"/>
        <w:ind w:firstLine="2240" w:firstLineChars="7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局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6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2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完全满足本项目资格要求。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XXX公司（需加盖公章）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2022年XX月XX日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1A822C1A"/>
    <w:rsid w:val="1A82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2022-07-12T09:47:00Z</dcterms:created>
  <dc:creator>家婉</dc:creator>
  <cp:lastModifiedBy>家婉</cp:lastModifiedBy>
  <dcterms:modified xsi:type="dcterms:W3CDTF">2022-07-12T09:47:18Z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2C62CB663122432BB255E58DAC8EEB71</vt:lpwstr>
  </property>
</Properties>
</file>