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平安深汕视频监控（二期）综合配套服务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平安深汕视频监控（二期）综合配套服务项目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深圳市深汕特别合作区智慧城市建设管理服务中心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  <w:t>三年服务期总价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只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需填写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yellow"/>
          <w:shd w:val="clear" w:color="auto" w:fill="FFFFFF"/>
          <w:lang w:bidi="ar"/>
        </w:rPr>
        <w:t>一年的项目服务费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563"/>
        <w:gridCol w:w="459"/>
        <w:gridCol w:w="660"/>
        <w:gridCol w:w="459"/>
        <w:gridCol w:w="1119"/>
        <w:gridCol w:w="2214"/>
        <w:gridCol w:w="1"/>
        <w:gridCol w:w="1275"/>
        <w:gridCol w:w="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服务项目</w:t>
            </w:r>
          </w:p>
        </w:tc>
        <w:tc>
          <w:tcPr>
            <w:tcW w:w="1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2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4M点对点数字链路</w:t>
            </w:r>
          </w:p>
        </w:tc>
        <w:tc>
          <w:tcPr>
            <w:tcW w:w="1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条/年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2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上行速率不小于4Mbps，并提供网络链路维护服务。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10M点对点数字链路</w:t>
            </w:r>
          </w:p>
        </w:tc>
        <w:tc>
          <w:tcPr>
            <w:tcW w:w="1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条/年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上行速率不小于10Mbps，并提供网络链路维护服务。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20M点对点数字链路</w:t>
            </w:r>
          </w:p>
        </w:tc>
        <w:tc>
          <w:tcPr>
            <w:tcW w:w="1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条/年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上行速率不小于20Mbps，并提供网络链路维护服务。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用电管理服务</w:t>
            </w:r>
          </w:p>
        </w:tc>
        <w:tc>
          <w:tcPr>
            <w:tcW w:w="1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项/年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提供日常电力报障、电表代理报装迁移、电费代缴等服务，并包含1年期设备电费。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物业租用管理服务</w:t>
            </w:r>
          </w:p>
        </w:tc>
        <w:tc>
          <w:tcPr>
            <w:tcW w:w="1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项/年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提供物业租金代理谈判、场地统一租用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及管理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服务，并包含百安村铁塔、俊豪花园三座A梯楼顶、瑞和产业园B座楼顶安装的高空瞭望监控物业1年期租金。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22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9BF7B48"/>
    <w:rsid w:val="69B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2022-08-08T09:35:00Z</dcterms:created>
  <dc:creator>家婉</dc:creator>
  <cp:lastModifiedBy>家婉</cp:lastModifiedBy>
  <dcterms:modified xsi:type="dcterms:W3CDTF">2022-08-08T09:35:31Z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9169D27271B3476CB40FECD07DD48888</vt:lpwstr>
  </property>
</Properties>
</file>