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line="540" w:lineRule="exact"/>
        <w:rPr>
          <w:rFonts w:hint="eastAsia" w:ascii="Times New Roman" w:hAnsi="Times New Roman" w:eastAsia="方正小标宋简体" w:cs="Times New Roman"/>
          <w:lang w:eastAsia="zh-CN"/>
        </w:rPr>
      </w:pPr>
      <w:bookmarkStart w:id="0" w:name="_Toc27028"/>
      <w:bookmarkStart w:id="1" w:name="_Toc10654"/>
      <w:bookmarkStart w:id="2" w:name="_Toc31763"/>
      <w:bookmarkStart w:id="3" w:name="_Toc13954"/>
      <w:bookmarkStart w:id="4" w:name="_Toc14572"/>
      <w:bookmarkStart w:id="5" w:name="_Toc9127"/>
      <w:bookmarkStart w:id="6" w:name="_Toc18737"/>
      <w:bookmarkStart w:id="7" w:name="_Toc25584"/>
      <w:bookmarkStart w:id="8" w:name="_Toc11263"/>
      <w:bookmarkStart w:id="9" w:name="_Toc28359"/>
      <w:bookmarkStart w:id="10" w:name="_Toc9507"/>
      <w:bookmarkStart w:id="11" w:name="_Toc7607"/>
      <w:bookmarkStart w:id="12" w:name="_Toc2091"/>
      <w:r>
        <w:rPr>
          <w:rFonts w:hint="eastAsia" w:ascii="Times New Roman" w:hAnsi="Times New Roman" w:eastAsia="方正小标宋简体" w:cs="Times New Roman"/>
          <w:lang w:val="en-US" w:eastAsia="zh-CN"/>
        </w:rPr>
        <w:t>深圳市深汕特别合作区应急管理局2024-2025年公务用车租赁服务项目</w:t>
      </w:r>
      <w:r>
        <w:rPr>
          <w:rFonts w:hint="default" w:ascii="Times New Roman" w:hAnsi="Times New Roman" w:eastAsia="方正小标宋简体" w:cs="Times New Roman"/>
        </w:rPr>
        <w:t>报价单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FF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项目名称：深圳市深汕特别合作区应急管理局2024-2025年公务用车租赁服务项目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采购单位：深圳市深汕特别合作区应急管理局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报价单位：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××</w:t>
      </w:r>
      <w:bookmarkStart w:id="13" w:name="_GoBack"/>
      <w:bookmarkEnd w:id="13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电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话：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10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182"/>
        <w:gridCol w:w="1691"/>
        <w:gridCol w:w="1609"/>
        <w:gridCol w:w="1582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序号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_GB2312"/>
                <w:color w:val="auto"/>
                <w:kern w:val="0"/>
                <w:szCs w:val="21"/>
                <w:lang w:eastAsia="zh-CN"/>
              </w:rPr>
              <w:t>车型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数量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40" w:lineRule="exact"/>
              <w:ind w:left="320" w:leftChars="0" w:hanging="32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价格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gridSpan w:val="2"/>
            <w:noWrap w:val="0"/>
            <w:vAlign w:val="top"/>
          </w:tcPr>
          <w:p>
            <w:pPr>
              <w:spacing w:line="540" w:lineRule="exact"/>
              <w:ind w:left="0" w:leftChars="0" w:firstLine="320" w:firstLineChars="1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总价合计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           </w:t>
      </w:r>
    </w:p>
    <w:p>
      <w:pPr>
        <w:widowControl/>
        <w:shd w:val="clear" w:color="auto" w:fill="FFFFFF"/>
        <w:spacing w:line="54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shd w:val="clear" w:color="auto" w:fill="FFFFFF"/>
        <w:spacing w:line="540" w:lineRule="exact"/>
        <w:ind w:firstLine="4480" w:firstLineChars="14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公司（需加盖公章）</w:t>
      </w:r>
    </w:p>
    <w:p>
      <w:pPr>
        <w:widowControl/>
        <w:shd w:val="clear" w:color="auto" w:fill="FFFFFF"/>
        <w:spacing w:line="540" w:lineRule="exact"/>
        <w:ind w:left="5760" w:leftChars="200" w:hanging="5120" w:hangingChars="16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5" w:type="default"/>
          <w:headerReference r:id="rId6" w:type="even"/>
          <w:pgSz w:w="11880" w:h="16800"/>
          <w:pgMar w:top="2098" w:right="1474" w:bottom="1984" w:left="1587" w:header="0" w:footer="0" w:gutter="0"/>
          <w:pgNumType w:fmt="numberInDash" w:start="2"/>
          <w:cols w:space="720" w:num="1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月 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BROdMg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CMFE50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rYRyMwIAAGM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hrYRy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ZTQ4NzllZDY2NTE4MWE0ZDdhYTFlM2I4MTExMmUifQ=="/>
  </w:docVars>
  <w:rsids>
    <w:rsidRoot w:val="39AC31DC"/>
    <w:rsid w:val="04FA7F25"/>
    <w:rsid w:val="06757D7D"/>
    <w:rsid w:val="093A10AA"/>
    <w:rsid w:val="0952586F"/>
    <w:rsid w:val="0ABB6046"/>
    <w:rsid w:val="0CC90E37"/>
    <w:rsid w:val="129C10D5"/>
    <w:rsid w:val="13AF1E6F"/>
    <w:rsid w:val="1B17652A"/>
    <w:rsid w:val="1E3D7AF5"/>
    <w:rsid w:val="207B23A8"/>
    <w:rsid w:val="23BB2058"/>
    <w:rsid w:val="24E8427A"/>
    <w:rsid w:val="254E083A"/>
    <w:rsid w:val="33B65F28"/>
    <w:rsid w:val="34AA342F"/>
    <w:rsid w:val="37734C69"/>
    <w:rsid w:val="38CC56C0"/>
    <w:rsid w:val="39AC31DC"/>
    <w:rsid w:val="3E3641E2"/>
    <w:rsid w:val="3E945468"/>
    <w:rsid w:val="40AD7302"/>
    <w:rsid w:val="47ED870C"/>
    <w:rsid w:val="4FB2613D"/>
    <w:rsid w:val="52712C74"/>
    <w:rsid w:val="53C779CC"/>
    <w:rsid w:val="57BA2052"/>
    <w:rsid w:val="5BC45DD7"/>
    <w:rsid w:val="5DFC502D"/>
    <w:rsid w:val="5E7B3AC5"/>
    <w:rsid w:val="65BA6136"/>
    <w:rsid w:val="669E2021"/>
    <w:rsid w:val="66CF02B3"/>
    <w:rsid w:val="67223064"/>
    <w:rsid w:val="6A1231B1"/>
    <w:rsid w:val="6FA4073D"/>
    <w:rsid w:val="6FF70BFA"/>
    <w:rsid w:val="70C443DF"/>
    <w:rsid w:val="74BA691F"/>
    <w:rsid w:val="770A3509"/>
    <w:rsid w:val="77FD8424"/>
    <w:rsid w:val="78DA2278"/>
    <w:rsid w:val="7AE26AF3"/>
    <w:rsid w:val="7C930851"/>
    <w:rsid w:val="7D240C61"/>
    <w:rsid w:val="7DA86CB4"/>
    <w:rsid w:val="7E364212"/>
    <w:rsid w:val="7FB85F04"/>
    <w:rsid w:val="F7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576" w:lineRule="exact"/>
      <w:ind w:left="0" w:right="0" w:firstLine="420" w:firstLineChars="200"/>
      <w:jc w:val="left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Lines="100" w:after="100" w:afterLines="100" w:line="360" w:lineRule="auto"/>
      <w:ind w:left="0"/>
      <w:jc w:val="center"/>
      <w:textAlignment w:val="center"/>
      <w:outlineLvl w:val="0"/>
    </w:pPr>
    <w:rPr>
      <w:rFonts w:ascii="宋体" w:hAnsi="宋体" w:eastAsia="黑体" w:cs="宋体"/>
      <w:bCs/>
      <w:szCs w:val="36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76" w:lineRule="exact"/>
      <w:ind w:firstLine="0" w:firstLineChars="0"/>
      <w:jc w:val="left"/>
      <w:outlineLvl w:val="1"/>
    </w:pPr>
    <w:rPr>
      <w:rFonts w:ascii="Arial" w:hAnsi="Arial" w:eastAsia="宋体"/>
      <w:sz w:val="28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2"/>
    </w:pPr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576" w:lineRule="exact"/>
      <w:jc w:val="center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customStyle="1" w:styleId="13">
    <w:name w:val="标题 2 Char"/>
    <w:link w:val="3"/>
    <w:qFormat/>
    <w:uiPriority w:val="0"/>
    <w:rPr>
      <w:rFonts w:ascii="Arial" w:hAnsi="Arial" w:eastAsia="宋体"/>
      <w:sz w:val="28"/>
    </w:rPr>
  </w:style>
  <w:style w:type="character" w:customStyle="1" w:styleId="14">
    <w:name w:val="标题 3 Char"/>
    <w:link w:val="4"/>
    <w:qFormat/>
    <w:uiPriority w:val="0"/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customStyle="1" w:styleId="15">
    <w:name w:val="标题 1 Char"/>
    <w:link w:val="2"/>
    <w:qFormat/>
    <w:uiPriority w:val="0"/>
    <w:rPr>
      <w:rFonts w:ascii="宋体" w:hAnsi="宋体" w:eastAsia="黑体" w:cs="黑体"/>
      <w:kern w:val="4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2022-03-26T15:27:00Z</dcterms:created>
  <dc:creator>散步的鱼Ryta</dc:creator>
  <cp:lastModifiedBy>sssuper</cp:lastModifiedBy>
  <dcterms:modified xsi:type="dcterms:W3CDTF">2024-09-14T10:48:48Z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E84C32E88B94204A90F9E466E40B4D12</vt:lpwstr>
  </property>
</Properties>
</file>