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eastAsia" w:ascii="CESI黑体-GB2312" w:hAnsi="CESI黑体-GB2312" w:eastAsia="CESI黑体-GB2312" w:cs="CESI黑体-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CESI黑体-GB2312" w:hAnsi="CESI黑体-GB2312" w:eastAsia="CESI黑体-GB2312" w:cs="CESI黑体-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bidi w:val="0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Toc27594"/>
      <w:bookmarkStart w:id="1" w:name="_Toc32434"/>
      <w:bookmarkStart w:id="2" w:name="_Toc16484"/>
      <w:bookmarkStart w:id="3" w:name="_Toc12999"/>
      <w:bookmarkStart w:id="4" w:name="_Toc8623"/>
      <w:bookmarkStart w:id="5" w:name="_Toc16134"/>
      <w:bookmarkStart w:id="6" w:name="_Toc9271"/>
      <w:bookmarkStart w:id="7" w:name="_Toc31914"/>
      <w:bookmarkStart w:id="8" w:name="_Toc13757"/>
      <w:bookmarkStart w:id="9" w:name="_Toc28890"/>
      <w:bookmarkStart w:id="10" w:name="_Toc26152"/>
      <w:bookmarkStart w:id="11" w:name="_Toc5445"/>
      <w:bookmarkStart w:id="12" w:name="_Toc3170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深圳市深汕特别合作区统战和社会建设局</w:t>
      </w:r>
    </w:p>
    <w:p>
      <w:pPr>
        <w:pStyle w:val="4"/>
        <w:bidi w:val="0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办公饮用水采购及配送服务项目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bidi w:val="0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办公饮用水</w:t>
      </w:r>
      <w:r>
        <w:rPr>
          <w:rFonts w:hint="eastAsia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采购及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配送服务项目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深圳市深汕特别合作区统战和社会建设局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536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872"/>
        <w:gridCol w:w="3002"/>
        <w:gridCol w:w="1425"/>
        <w:gridCol w:w="777"/>
        <w:gridCol w:w="12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16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怡宝18.9L/桶</w:t>
            </w:r>
          </w:p>
        </w:tc>
        <w:tc>
          <w:tcPr>
            <w:tcW w:w="16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bookmarkStart w:id="13" w:name="_GoBack"/>
            <w:bookmarkEnd w:id="13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L*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/箱</w:t>
            </w:r>
          </w:p>
        </w:tc>
        <w:tc>
          <w:tcPr>
            <w:tcW w:w="16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农夫山泉550ML*24/箱</w:t>
            </w:r>
          </w:p>
        </w:tc>
        <w:tc>
          <w:tcPr>
            <w:tcW w:w="16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农夫山泉380ML*24/箱</w:t>
            </w:r>
          </w:p>
        </w:tc>
        <w:tc>
          <w:tcPr>
            <w:tcW w:w="16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农夫山泉4L*6/箱</w:t>
            </w:r>
          </w:p>
        </w:tc>
        <w:tc>
          <w:tcPr>
            <w:tcW w:w="16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  <w:t>百岁山348ML*24/箱</w:t>
            </w:r>
          </w:p>
        </w:tc>
        <w:tc>
          <w:tcPr>
            <w:tcW w:w="16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在订水后2小时内将饮用水配送至指定地点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27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before="0" w:beforeAutospacing="0" w:after="0" w:afterAutospacing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</w:t>
      </w:r>
    </w:p>
    <w:p>
      <w:pPr>
        <w:widowControl/>
        <w:shd w:val="clear" w:color="auto" w:fill="FFFFFF"/>
        <w:spacing w:line="500" w:lineRule="exact"/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FD6A35"/>
    <w:rsid w:val="37F942AE"/>
    <w:rsid w:val="B6FD6A35"/>
    <w:rsid w:val="E2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76" w:lineRule="exact"/>
      <w:ind w:firstLine="0" w:firstLineChars="0"/>
      <w:jc w:val="left"/>
      <w:outlineLvl w:val="1"/>
    </w:pPr>
    <w:rPr>
      <w:rFonts w:ascii="Arial" w:hAnsi="Arial" w:eastAsia="宋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2024-10-23T19:13:00Z</dcterms:created>
  <dc:creator>tzj</dc:creator>
  <cp:lastModifiedBy>tzj</cp:lastModifiedBy>
  <dcterms:modified xsi:type="dcterms:W3CDTF">2024-11-01T10:24:25Z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E56BE59CE4578D3ED93B2467EBCFDBCB</vt:lpwstr>
  </property>
</Properties>
</file>